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6B" w:rsidRDefault="00E9416B" w:rsidP="00E94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ДОКЛАДА</w:t>
      </w:r>
    </w:p>
    <w:p w:rsidR="00E9416B" w:rsidRPr="00B53BBF" w:rsidRDefault="00E9416B" w:rsidP="00E941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</w:rPr>
        <w:t xml:space="preserve"> о правоприменительной практике контрольной (надзорной)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Волжско-Окском управлении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служб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9416B" w:rsidRPr="00B53BBF" w:rsidRDefault="00E9416B" w:rsidP="00E941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0" w:name="_Toc482266758"/>
    </w:p>
    <w:p w:rsidR="00E9416B" w:rsidRPr="00B53BBF" w:rsidRDefault="00E9416B" w:rsidP="00E941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B53BB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Общие положения</w:t>
      </w:r>
      <w:bookmarkEnd w:id="0"/>
    </w:p>
    <w:p w:rsidR="00E9416B" w:rsidRPr="00B53BBF" w:rsidRDefault="00E9416B" w:rsidP="00E9416B">
      <w:pPr>
        <w:rPr>
          <w:rFonts w:ascii="Times New Roman" w:hAnsi="Times New Roman"/>
          <w:lang w:eastAsia="ru-RU"/>
        </w:rPr>
      </w:pPr>
    </w:p>
    <w:p w:rsidR="00E9416B" w:rsidRPr="00B53BBF" w:rsidRDefault="00E9416B" w:rsidP="00E941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53BBF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53BBF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безопасности гидротехнических сооружений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 xml:space="preserve">«О государственном контроле (надзоре) и муниципальном контроле», постановления Правительства Российской Федерации от 30 июня 2021 г.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№ 1080 «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B53BBF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в соответствии с</w:t>
      </w:r>
      <w:proofErr w:type="gramEnd"/>
      <w:r w:rsidRPr="00B53BBF">
        <w:rPr>
          <w:rFonts w:ascii="Times New Roman" w:hAnsi="Times New Roman"/>
          <w:sz w:val="28"/>
          <w:szCs w:val="28"/>
          <w:lang w:bidi="ru-RU"/>
        </w:rPr>
        <w:t xml:space="preserve"> приказом Федеральной службы по экологическому, технологическому и атомному надзору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августа 2023 г. №</w:t>
      </w:r>
      <w:r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«Об утверждении Порядка организации работы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и атомному надзору».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proofErr w:type="spellStart"/>
      <w:r w:rsidRPr="00963FB7">
        <w:rPr>
          <w:rFonts w:ascii="Times New Roman" w:hAnsi="Times New Roman"/>
          <w:sz w:val="28"/>
          <w:szCs w:val="28"/>
          <w:lang w:bidi="ru-RU"/>
        </w:rPr>
        <w:t>Ростехнадзором</w:t>
      </w:r>
      <w:proofErr w:type="spellEnd"/>
      <w:r w:rsidRPr="00963FB7">
        <w:rPr>
          <w:rFonts w:ascii="Times New Roman" w:hAnsi="Times New Roman"/>
          <w:sz w:val="28"/>
          <w:szCs w:val="28"/>
          <w:lang w:bidi="ru-RU"/>
        </w:rPr>
        <w:t xml:space="preserve">, и проводится </w:t>
      </w:r>
      <w:r w:rsidRPr="00963FB7">
        <w:rPr>
          <w:rFonts w:ascii="Times New Roman" w:hAnsi="Times New Roman"/>
          <w:sz w:val="28"/>
          <w:szCs w:val="28"/>
          <w:lang w:bidi="ru-RU"/>
        </w:rPr>
        <w:br/>
        <w:t>для решения следующих задач: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E9416B" w:rsidRPr="00963FB7" w:rsidRDefault="00E9416B" w:rsidP="00E9416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9416B" w:rsidRDefault="00E9416B" w:rsidP="00E94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416B" w:rsidRPr="00B53BBF" w:rsidRDefault="00E9416B" w:rsidP="00E94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416B" w:rsidRPr="00B53BBF" w:rsidRDefault="00E9416B" w:rsidP="00E941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Федеральный государственный надзор в области безопасности гидротехнических сооружений </w:t>
      </w:r>
    </w:p>
    <w:p w:rsidR="00E9416B" w:rsidRDefault="00E9416B" w:rsidP="00E941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16B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E9416B" w:rsidRPr="00CA2049" w:rsidRDefault="00E9416B" w:rsidP="00E9416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9416B" w:rsidRPr="00CA2049" w:rsidRDefault="00E9416B" w:rsidP="00E9416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21 июля 1997 г. № 117-ФЗ «О безопасности гидротехнических сооружений»;</w:t>
      </w:r>
    </w:p>
    <w:p w:rsidR="00E9416B" w:rsidRPr="00C747BD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Положение о федеральном государственном надзоре в области безопасности гидротехнических сооружений, утверждённое постановлением Правительства Российской Федерации от 30 июня 2021</w:t>
      </w:r>
      <w:r w:rsidRPr="00CA204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Pr="00CA204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1080</w:t>
      </w: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7B2C9F" w:rsidRDefault="00E9416B" w:rsidP="00E941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2008 г. № 401,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за </w:t>
      </w:r>
      <w:proofErr w:type="spellStart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Ростехнадзором</w:t>
      </w:r>
      <w:proofErr w:type="spellEnd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закреплены функции по осуществлению федерального государственного надзора в области безопасности гидротехнических сооружений</w:t>
      </w:r>
      <w:proofErr w:type="gramEnd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судоходных и портовых гидротехнических сооружений) (далее – ГТС).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Волжско-Окскому управлению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Ростехнадзор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753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промышленности; 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720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ГТС. 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организаций, эксплуатирующих </w:t>
      </w:r>
      <w:r w:rsidRPr="00C7070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245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 аварий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(в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 2024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Pr="00C7070B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несчастных случаев со смертельным исходом 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не зарегистрировано).</w:t>
      </w:r>
    </w:p>
    <w:p w:rsidR="00E9416B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Волжско-Окс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hAnsi="Times New Roman"/>
          <w:sz w:val="28"/>
          <w:szCs w:val="28"/>
          <w:lang w:eastAsia="ru-RU"/>
        </w:rPr>
        <w:t>Ростехнадзор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 xml:space="preserve"> деклараций безопасности ГТС,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выписки из Российского регистра ГТС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оформлялись.</w:t>
      </w:r>
    </w:p>
    <w:p w:rsidR="00E9416B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осуществления контрольной (надзорной) деятельности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 учётом требований постановления Правительства Российской Федерации от 10 марта 2022 г. № 336 «Об особенностях организации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и осуществления государственного контроля (надзора), муниципального контроля»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проведено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, внеплановых –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roofErr w:type="gramEnd"/>
    </w:p>
    <w:p w:rsidR="00E9416B" w:rsidRDefault="00E9416B" w:rsidP="00E9416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Всего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в рамках мероприятий по контролю организации безопасной эксплуатации и безопасного состояния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гидротехнических сооружений,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hAnsi="Times New Roman"/>
          <w:sz w:val="28"/>
          <w:szCs w:val="28"/>
          <w:lang w:eastAsia="ru-RU"/>
        </w:rPr>
        <w:br/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том числе </w:t>
      </w:r>
      <w:r w:rsidRPr="00CA2049">
        <w:rPr>
          <w:rFonts w:ascii="Times New Roman" w:hAnsi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 (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регулярные обследования ГТС),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а также в рамках проверок иных контролирующих органов с привлечением представителей </w:t>
      </w:r>
      <w:r>
        <w:rPr>
          <w:rFonts w:ascii="Times New Roman" w:hAnsi="Times New Roman"/>
          <w:sz w:val="28"/>
          <w:szCs w:val="28"/>
          <w:lang w:eastAsia="ru-RU"/>
        </w:rPr>
        <w:t>Волжско-Окского управления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Ростехнадзора в </w:t>
      </w: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году 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163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hAnsi="Times New Roman"/>
          <w:sz w:val="28"/>
          <w:szCs w:val="28"/>
          <w:lang w:eastAsia="ru-RU"/>
        </w:rPr>
        <w:t>2024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). </w:t>
      </w:r>
      <w:proofErr w:type="gramEnd"/>
    </w:p>
    <w:p w:rsidR="00E9416B" w:rsidRPr="00CA2049" w:rsidRDefault="00E9416B" w:rsidP="00E9416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рамках режима постоянного государственного надзора проведено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действи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</w:p>
    <w:p w:rsidR="00E9416B" w:rsidRPr="009768FD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566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правонарушений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По результатам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ое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наказани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Административное приостановление деятельности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применялось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временный запрет деятельности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 применялся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E9416B" w:rsidRPr="009768FD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наложено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12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60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тыс.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рублей.</w:t>
      </w:r>
    </w:p>
    <w:p w:rsidR="00E9416B" w:rsidRPr="009768FD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</w:t>
      </w:r>
      <w:r w:rsidRPr="00F90BF3">
        <w:rPr>
          <w:rFonts w:ascii="Times New Roman" w:eastAsia="Times New Roman" w:hAnsi="Times New Roman"/>
          <w:sz w:val="28"/>
          <w:szCs w:val="28"/>
          <w:lang w:eastAsia="ru-RU"/>
        </w:rPr>
        <w:t xml:space="preserve">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Волжско-Окского управления </w:t>
      </w:r>
      <w:r w:rsidRPr="00F90BF3">
        <w:rPr>
          <w:rFonts w:ascii="Times New Roman" w:eastAsia="Times New Roman" w:hAnsi="Times New Roman"/>
          <w:sz w:val="28"/>
          <w:szCs w:val="28"/>
          <w:lang w:eastAsia="ru-RU"/>
        </w:rPr>
        <w:t>Ростехнадзора в рамках 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9768FD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p w:rsidR="00E9416B" w:rsidRPr="009768FD" w:rsidRDefault="00E9416B" w:rsidP="00E941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типичным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нарушениям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расчёта размера вероятного вреда, который может быть причинён жизни, здоровью физических лиц, имуществу физических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и юридических лиц в результате аварии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осуществляется разработка и уточнение критериев безопасности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определяется величина финансового обеспечения гражданской ответственности за вред, который может быть причинён жизни, здоровью физических лиц, имуществу физических и юридических лиц в результате 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аварии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отсутствие инструкции по эксплуатации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обеспечивается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надлежащее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техническое обслуживание, эксплуатационный контроль и текущий ремонт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ГТС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наличие дефектов бетонных сооружений комплекса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зарастание ГТС древесно-кустарниковой растительностью;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обеспечено проведение аттестации работников по вопросам безопасности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отсутствие контроля (мониторинга) показателей состояния ГТС;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обеспечивается проведение комплексного обследования ГТС с оценкой их прочности и устойчивости;</w:t>
      </w:r>
    </w:p>
    <w:p w:rsidR="00E9416B" w:rsidRPr="00804C9A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недостаточное оснащение техническими и материальными средствами для осуществления мероприятий по спасению людей, локализации и ликвидации аварий ГТС;</w:t>
      </w:r>
    </w:p>
    <w:p w:rsidR="00E9416B" w:rsidRPr="009768FD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сведения о ГТС не внесены в Российский регистр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E9416B" w:rsidRPr="009768FD" w:rsidRDefault="00E9416B" w:rsidP="00E9416B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не выявлено.</w:t>
      </w:r>
    </w:p>
    <w:p w:rsidR="00E9416B" w:rsidRPr="007B2C9F" w:rsidRDefault="00E9416B" w:rsidP="00E941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эффективности программы профилактики </w:t>
      </w:r>
      <w:r w:rsidRPr="00C7070B">
        <w:rPr>
          <w:rFonts w:ascii="Times New Roman" w:eastAsia="Times New Roman" w:hAnsi="Times New Roman"/>
          <w:sz w:val="28"/>
          <w:szCs w:val="28"/>
          <w:lang w:eastAsia="ru-RU"/>
        </w:rPr>
        <w:t>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7070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утверждённой приказом </w:t>
      </w:r>
      <w:r w:rsidRPr="00E9416B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Ростехнадзора от 13 декабря 2024 г. № 390, в 2025 году </w:t>
      </w:r>
      <w:r w:rsidRPr="00E9416B"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Pr="00E9416B">
        <w:rPr>
          <w:rFonts w:ascii="Times New Roman" w:eastAsia="Times New Roman" w:hAnsi="Times New Roman"/>
          <w:sz w:val="28"/>
          <w:szCs w:val="28"/>
          <w:lang w:eastAsia="ru-RU"/>
        </w:rPr>
        <w:t>Ростехнадзор</w:t>
      </w:r>
      <w:r w:rsidRPr="00E941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9416B">
        <w:rPr>
          <w:rFonts w:ascii="Times New Roman" w:eastAsia="Times New Roman" w:hAnsi="Times New Roman"/>
          <w:sz w:val="28"/>
          <w:szCs w:val="28"/>
          <w:lang w:eastAsia="ru-RU"/>
        </w:rPr>
        <w:t xml:space="preserve"> на постоянной основе реализовывались следующие мероприятия:</w:t>
      </w:r>
    </w:p>
    <w:p w:rsidR="00E9416B" w:rsidRPr="00B53BBF" w:rsidRDefault="00E9416B" w:rsidP="00E9416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о недопустимости нарушений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 области безопасности гидротехнических сооружений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416B" w:rsidRPr="007B2C9F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E9416B" w:rsidRPr="007B2C9F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 xml:space="preserve">на официальном сайте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</w:t>
      </w:r>
      <w:r w:rsidRPr="007B2C9F">
        <w:rPr>
          <w:rFonts w:ascii="Times New Roman" w:hAnsi="Times New Roman"/>
          <w:sz w:val="28"/>
          <w:szCs w:val="28"/>
        </w:rPr>
        <w:lastRenderedPageBreak/>
        <w:t>соблюдения обязательных требований в области безопасности гидротехнических сооружений;</w:t>
      </w:r>
    </w:p>
    <w:p w:rsidR="00E9416B" w:rsidRPr="00B53BBF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эксплуатации опасных объектов;</w:t>
      </w:r>
    </w:p>
    <w:p w:rsidR="00E9416B" w:rsidRPr="007B2C9F" w:rsidRDefault="00E9416B" w:rsidP="00E941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вебинары</w:t>
      </w:r>
      <w:proofErr w:type="spellEnd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конференции;</w:t>
      </w:r>
    </w:p>
    <w:p w:rsidR="00E9416B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874EF4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Заявлений от юридических лиц и индивидуальных предпринимателей, эксплуатирующих </w:t>
      </w:r>
      <w:r w:rsidRPr="0049043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проведения оценки добросовестности, предусматривающей оценку соответствия организации, эксплуатирующей </w:t>
      </w:r>
      <w:r w:rsidRPr="0049043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, критериям добросовестности, не поступало. </w:t>
      </w:r>
    </w:p>
    <w:p w:rsidR="00E9416B" w:rsidRPr="007C130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или электронном виде, тематика которых касалась:</w:t>
      </w:r>
      <w:proofErr w:type="gramEnd"/>
    </w:p>
    <w:p w:rsidR="00E9416B" w:rsidRPr="00CA2049" w:rsidRDefault="00E9416B" w:rsidP="00E9416B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требований нормативных правовых актов;</w:t>
      </w:r>
    </w:p>
    <w:p w:rsidR="00E9416B" w:rsidRPr="00CA2049" w:rsidRDefault="00E9416B" w:rsidP="00E9416B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оказания государственных услуг;</w:t>
      </w:r>
    </w:p>
    <w:p w:rsidR="00E9416B" w:rsidRPr="007C130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декларирования безопасности гидротехнического сооружения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FD3920" w:rsidRDefault="00E9416B" w:rsidP="00E9416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может послужить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9416B" w:rsidRPr="00C475FD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ГТС в собственности физических лиц, не обладающих знаниями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ГТС;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ГТС, </w:t>
      </w:r>
      <w:proofErr w:type="gramStart"/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отработавших</w:t>
      </w:r>
      <w:proofErr w:type="gramEnd"/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 нормативный срок.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с отсутствием финансирования мероприятий по проведению капитального ремонта и (или) реконструкции ГТС, а также на консервацию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и (или) ликвидацию ГТС сооружения утрачивают свою над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</w:t>
      </w:r>
      <w:proofErr w:type="gramEnd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устойчивости функционирования объектов;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</w:t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 Российской Федерации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416B" w:rsidRPr="00FD3920" w:rsidRDefault="00E9416B" w:rsidP="00E941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16B" w:rsidRPr="007B2C9F" w:rsidRDefault="00E9416B" w:rsidP="00E9416B">
      <w:pPr>
        <w:pStyle w:val="20"/>
        <w:shd w:val="clear" w:color="auto" w:fill="auto"/>
        <w:spacing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E9416B" w:rsidRPr="007B2C9F" w:rsidRDefault="00E9416B" w:rsidP="00E9416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FA0585" w:rsidRDefault="00FA0585">
      <w:bookmarkStart w:id="1" w:name="_GoBack"/>
      <w:bookmarkEnd w:id="1"/>
    </w:p>
    <w:sectPr w:rsidR="00FA0585" w:rsidSect="00521EE2">
      <w:headerReference w:type="default" r:id="rId5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0614" w:rsidRPr="004D5AA9" w:rsidRDefault="00E9416B">
        <w:pPr>
          <w:pStyle w:val="a3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:rsidR="00700614" w:rsidRDefault="00E94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6B"/>
    <w:rsid w:val="00E9416B"/>
    <w:rsid w:val="00F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941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1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E941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1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9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1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941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1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E941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1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9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1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E9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1</cp:revision>
  <dcterms:created xsi:type="dcterms:W3CDTF">2026-02-24T14:15:00Z</dcterms:created>
  <dcterms:modified xsi:type="dcterms:W3CDTF">2026-02-24T14:25:00Z</dcterms:modified>
</cp:coreProperties>
</file>