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65E5C" w:rsidRPr="009F1A12" w:rsidTr="00D5744A">
        <w:tc>
          <w:tcPr>
            <w:tcW w:w="5528" w:type="dxa"/>
          </w:tcPr>
          <w:p w:rsidR="00165E5C" w:rsidRPr="00165E5C" w:rsidRDefault="00165E5C" w:rsidP="00165E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E5C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65E5C" w:rsidRPr="009F1A12" w:rsidRDefault="00165E5C" w:rsidP="00E33680">
            <w:pPr>
              <w:rPr>
                <w:rFonts w:asciiTheme="minorHAnsi" w:hAnsiTheme="minorHAnsi"/>
                <w:sz w:val="28"/>
                <w:szCs w:val="28"/>
              </w:rPr>
            </w:pPr>
            <w:r w:rsidRPr="00165E5C">
              <w:rPr>
                <w:rFonts w:ascii="Times New Roman" w:hAnsi="Times New Roman"/>
                <w:sz w:val="28"/>
                <w:szCs w:val="28"/>
              </w:rPr>
              <w:t>приказом Волжско-Окского управления Ростехнадзора</w:t>
            </w:r>
            <w:r w:rsidRPr="00165E5C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E33680">
              <w:rPr>
                <w:rFonts w:ascii="Times New Roman" w:hAnsi="Times New Roman"/>
                <w:sz w:val="28"/>
                <w:szCs w:val="28"/>
              </w:rPr>
              <w:t>16 марта 2026 г.</w:t>
            </w:r>
            <w:r w:rsidRPr="00165E5C">
              <w:rPr>
                <w:rFonts w:ascii="Times New Roman" w:hAnsi="Times New Roman"/>
                <w:sz w:val="28"/>
                <w:szCs w:val="28"/>
              </w:rPr>
              <w:t>№</w:t>
            </w:r>
            <w:r w:rsidR="00E33680">
              <w:rPr>
                <w:rFonts w:ascii="Times New Roman" w:hAnsi="Times New Roman"/>
                <w:sz w:val="28"/>
                <w:szCs w:val="28"/>
              </w:rPr>
              <w:t>ПР-311-67-о</w:t>
            </w:r>
          </w:p>
        </w:tc>
      </w:tr>
    </w:tbl>
    <w:p w:rsidR="00165E5C" w:rsidRDefault="00165E5C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E5C" w:rsidRDefault="00165E5C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E5C" w:rsidRDefault="00165E5C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E5C" w:rsidRDefault="00165E5C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E5C" w:rsidRDefault="00165E5C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416B" w:rsidRDefault="00E9416B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E9416B" w:rsidRPr="00B53BBF" w:rsidRDefault="00E9416B" w:rsidP="00E941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Волжско-Окском управлении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9416B" w:rsidRPr="00B53BBF" w:rsidRDefault="00E9416B" w:rsidP="00E941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0" w:name="_Toc482266758"/>
    </w:p>
    <w:p w:rsidR="00E9416B" w:rsidRPr="00B53BBF" w:rsidRDefault="00E9416B" w:rsidP="00E941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0"/>
    </w:p>
    <w:p w:rsidR="00E9416B" w:rsidRPr="00B53BBF" w:rsidRDefault="00E9416B" w:rsidP="00E9416B">
      <w:pPr>
        <w:rPr>
          <w:rFonts w:ascii="Times New Roman" w:hAnsi="Times New Roman"/>
          <w:lang w:eastAsia="ru-RU"/>
        </w:rPr>
      </w:pPr>
    </w:p>
    <w:p w:rsidR="00E9416B" w:rsidRPr="00B53BBF" w:rsidRDefault="00E9416B" w:rsidP="00E941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 xml:space="preserve">«О государственном контроле (надзоре) и муниципальном контроле», постановления Правительства Российской Федерации от 30 июня 2021 г.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№ 1080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в соответствии с</w:t>
      </w:r>
      <w:proofErr w:type="gramEnd"/>
      <w:r w:rsidRPr="00B53BBF">
        <w:rPr>
          <w:rFonts w:ascii="Times New Roman" w:hAnsi="Times New Roman"/>
          <w:sz w:val="28"/>
          <w:szCs w:val="28"/>
          <w:lang w:bidi="ru-RU"/>
        </w:rPr>
        <w:t xml:space="preserve"> приказом Федеральной службы по экологическому, технологическому и атомному надзору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и атомному надзору».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proofErr w:type="spellStart"/>
      <w:r w:rsidRPr="00963FB7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963FB7">
        <w:rPr>
          <w:rFonts w:ascii="Times New Roman" w:hAnsi="Times New Roman"/>
          <w:sz w:val="28"/>
          <w:szCs w:val="28"/>
          <w:lang w:bidi="ru-RU"/>
        </w:rPr>
        <w:t xml:space="preserve">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9416B" w:rsidRPr="00B53BBF" w:rsidRDefault="00E9416B" w:rsidP="00E94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416B" w:rsidRPr="00B53BBF" w:rsidRDefault="00E9416B" w:rsidP="00E941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E9416B" w:rsidRDefault="00E9416B" w:rsidP="00E941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16B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E9416B" w:rsidRPr="00CA2049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9416B" w:rsidRPr="00CA2049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21 июля 1997 г. № 117-ФЗ «О безопасности гидротехнических сооружений»;</w:t>
      </w:r>
    </w:p>
    <w:p w:rsidR="00E9416B" w:rsidRPr="00C747BD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гидротехнических сооружений, утверждённое постановлением Правительства Российской Федерации от 30 июня 2021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1080</w:t>
      </w: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7B2C9F" w:rsidRDefault="00E9416B" w:rsidP="00E941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2008 г. 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за </w:t>
      </w:r>
      <w:proofErr w:type="spell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закреплены функции по осуществлению федерального государственного надзора в области безопасности гидротехнических сооружений</w:t>
      </w:r>
      <w:proofErr w:type="gram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судоходных и</w:t>
      </w:r>
      <w:bookmarkStart w:id="1" w:name="_GoBack"/>
      <w:bookmarkEnd w:id="1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портовых гидротехнических сооружений) (далее – ГТС).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Волжско-Окскому управлению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Ростехнадзор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753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720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организаций, эксплуатирующих </w:t>
      </w:r>
      <w:r w:rsidRPr="00C7070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245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 аварий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(в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 2024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Pr="00C7070B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несчастных случаев со смертельным исходом 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не зарегистрировано).</w:t>
      </w:r>
    </w:p>
    <w:p w:rsidR="00E9416B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7B2C9F">
        <w:rPr>
          <w:rFonts w:ascii="Times New Roman" w:hAnsi="Times New Roman"/>
          <w:sz w:val="28"/>
          <w:szCs w:val="28"/>
          <w:lang w:eastAsia="ru-RU"/>
        </w:rPr>
        <w:t>Ростехнадзор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r>
        <w:rPr>
          <w:rFonts w:ascii="Times New Roman" w:hAnsi="Times New Roman"/>
          <w:sz w:val="28"/>
          <w:szCs w:val="28"/>
          <w:lang w:eastAsia="ru-RU"/>
        </w:rPr>
        <w:t xml:space="preserve">16 деклараций безопасности ГТС,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выписки из Российского регистра ГТС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оформлялись.</w:t>
      </w:r>
    </w:p>
    <w:p w:rsidR="00E9416B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 учётом требований постановления Правительства Российской Федерации от 10 марта 2022 г. № 336 «Об особенностях организации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 осуществления государственного контроля (надзора), муниципального контроля»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 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я 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 году - 0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– 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, внеплановых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roofErr w:type="gramEnd"/>
    </w:p>
    <w:p w:rsidR="00E9416B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Всего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в рамках мероприятий по контролю организации безопасной эксплуатации и безопасного состояния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гидротехнических сооружений,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br/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том числе </w:t>
      </w:r>
      <w:r w:rsidRPr="00CA2049">
        <w:rPr>
          <w:rFonts w:ascii="Times New Roman" w:hAnsi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 (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регулярные обследования ГТС),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а также в рамках проверок иных контролирующих органов с привлечением представителей </w:t>
      </w:r>
      <w:r>
        <w:rPr>
          <w:rFonts w:ascii="Times New Roman" w:hAnsi="Times New Roman"/>
          <w:sz w:val="28"/>
          <w:szCs w:val="28"/>
          <w:lang w:eastAsia="ru-RU"/>
        </w:rPr>
        <w:t>Волжско-Окского управления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Ростехнадзора в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163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hAnsi="Times New Roman"/>
          <w:sz w:val="28"/>
          <w:szCs w:val="28"/>
          <w:lang w:eastAsia="ru-RU"/>
        </w:rPr>
        <w:t>2024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). </w:t>
      </w:r>
      <w:proofErr w:type="gramEnd"/>
    </w:p>
    <w:p w:rsidR="00E9416B" w:rsidRPr="00CA2049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рамках режима постоянного государственного надзора проведено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действи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 году -10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566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правонарушений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ое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наказани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Административное приостановление деятельности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применялось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временный запрет деятельности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применялся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наложено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12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60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тыс.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рублей.</w:t>
      </w:r>
    </w:p>
    <w:p w:rsidR="00E9416B" w:rsidRPr="009768FD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</w:t>
      </w:r>
      <w:r w:rsidRPr="00F90BF3"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Волжско-Окского управления </w:t>
      </w:r>
      <w:r w:rsidRPr="00F90BF3">
        <w:rPr>
          <w:rFonts w:ascii="Times New Roman" w:eastAsia="Times New Roman" w:hAnsi="Times New Roman"/>
          <w:sz w:val="28"/>
          <w:szCs w:val="28"/>
          <w:lang w:eastAsia="ru-RU"/>
        </w:rPr>
        <w:t>Ростехнадзора в рамках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расчёта размера вероятного вреда, который может быть 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причинён жизни, здоровью физических лиц, имуществу физических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и юридических лиц в результате аварии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осуществляется разработка и уточнение критериев безопасности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определяется величина финансового обеспечения гражданской ответственности за вред, который может быть причинён жизни, здоровью физических лиц, имуществу физических и юридических лиц в результате аварии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инструкции по эксплуатации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техническое обслуживание, эксплуатационный контроль и текущий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наличие дефектов бетонных сооружений комплекса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зарастание ГТС древесно-кустарниковой растительностью;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обеспечено проведение аттестации работников по вопросам безопасности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контроля (мониторинга) показателей состояния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обеспечивается проведение комплексного обследования ГТС с оценкой их прочности и устойчивости;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недостаточное оснащение техническими и материальными средствами для осуществления мероприятий по спасению людей, локализации и ликвидации аварий ГТС;</w:t>
      </w:r>
    </w:p>
    <w:p w:rsidR="00E9416B" w:rsidRPr="009768FD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сведения о ГТС не внесены в Российский регистр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E9416B" w:rsidRPr="009768FD" w:rsidRDefault="00E9416B" w:rsidP="00E9416B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не выявлено.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эффективности программы профилактики </w:t>
      </w:r>
      <w:r w:rsidRPr="00C7070B">
        <w:rPr>
          <w:rFonts w:ascii="Times New Roman" w:eastAsia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707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 </w:t>
      </w:r>
      <w:r w:rsidRPr="00E9416B">
        <w:rPr>
          <w:rFonts w:ascii="Times New Roman" w:eastAsia="Times New Roman" w:hAnsi="Times New Roman"/>
          <w:sz w:val="28"/>
          <w:szCs w:val="28"/>
          <w:lang w:eastAsia="ru-RU"/>
        </w:rPr>
        <w:t>Ростехнадзора от 13 декабря 2024 г. № 390, в 2025 году Волжско-Окским управлением Ростехнадзора на постоянной основе реализовывались следующие мероприятия:</w:t>
      </w:r>
    </w:p>
    <w:p w:rsidR="00E9416B" w:rsidRPr="00B53BBF" w:rsidRDefault="00E9416B" w:rsidP="00E9416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 области безопасности гидротехнических сооружений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16B" w:rsidRPr="007B2C9F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 xml:space="preserve">осуществлялось информирование лиц по вопросам соблюдения обязательных требований, в том числе изменения обязательных требований, </w:t>
      </w:r>
      <w:r w:rsidRPr="007B2C9F">
        <w:rPr>
          <w:rFonts w:ascii="Times New Roman" w:hAnsi="Times New Roman"/>
          <w:sz w:val="28"/>
          <w:szCs w:val="28"/>
        </w:rPr>
        <w:lastRenderedPageBreak/>
        <w:t>оценка соблюдения которых является предметом государственного контроля (надзора) в установленной сфере деятельности;</w:t>
      </w:r>
    </w:p>
    <w:p w:rsidR="00E9416B" w:rsidRPr="007B2C9F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:rsidR="00E9416B" w:rsidRPr="00B53BBF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:rsidR="00E9416B" w:rsidRPr="007B2C9F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конференции;</w:t>
      </w:r>
    </w:p>
    <w:p w:rsidR="00E9416B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874EF4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</w:t>
      </w:r>
      <w:r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проведения оценки добросовестности, предусматривающей оценку соответствия организации, эксплуатирующей </w:t>
      </w:r>
      <w:r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критериям добросовестности, не поступало. </w:t>
      </w:r>
    </w:p>
    <w:p w:rsidR="00E9416B" w:rsidRPr="007C130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E9416B" w:rsidRPr="00CA2049" w:rsidRDefault="00E9416B" w:rsidP="00E9416B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требований нормативных правовых актов;</w:t>
      </w:r>
    </w:p>
    <w:p w:rsidR="00E9416B" w:rsidRPr="00CA2049" w:rsidRDefault="00E9416B" w:rsidP="00E9416B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оказания государственных услуг;</w:t>
      </w:r>
    </w:p>
    <w:p w:rsidR="00E9416B" w:rsidRPr="007C130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декларирования безопасности гидротехнического сооружения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FD3920" w:rsidRDefault="00E9416B" w:rsidP="00E9416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может послужить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9416B" w:rsidRPr="00C475FD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 в собственности физических лиц, не обладающих знаниями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ГТС;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ГТС, </w:t>
      </w:r>
      <w:proofErr w:type="gramStart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отработавших</w:t>
      </w:r>
      <w:proofErr w:type="gramEnd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 нормативный срок.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с отсутствием финансирования мероприятий по проведению капитального ремонта и (или) реконструкции ГТС, а также на консервацию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и (или) ликвидацию ГТС сооружения утрачивают свою над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</w:t>
      </w:r>
      <w:proofErr w:type="gramEnd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Российской Федерации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7B2C9F" w:rsidRDefault="00E9416B" w:rsidP="00E9416B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E9416B" w:rsidRPr="007B2C9F" w:rsidRDefault="00E9416B" w:rsidP="00E9416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FA0585" w:rsidRDefault="00FA0585"/>
    <w:sectPr w:rsidR="00FA0585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8C" w:rsidRDefault="0043748C">
      <w:pPr>
        <w:spacing w:after="0" w:line="240" w:lineRule="auto"/>
      </w:pPr>
      <w:r>
        <w:separator/>
      </w:r>
    </w:p>
  </w:endnote>
  <w:endnote w:type="continuationSeparator" w:id="0">
    <w:p w:rsidR="0043748C" w:rsidRDefault="0043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8C" w:rsidRDefault="0043748C">
      <w:pPr>
        <w:spacing w:after="0" w:line="240" w:lineRule="auto"/>
      </w:pPr>
      <w:r>
        <w:separator/>
      </w:r>
    </w:p>
  </w:footnote>
  <w:footnote w:type="continuationSeparator" w:id="0">
    <w:p w:rsidR="0043748C" w:rsidRDefault="0043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E9416B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E33680">
          <w:rPr>
            <w:rFonts w:ascii="Times New Roman" w:hAnsi="Times New Roman"/>
            <w:noProof/>
            <w:sz w:val="28"/>
          </w:rPr>
          <w:t>6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437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6B"/>
    <w:rsid w:val="00165E5C"/>
    <w:rsid w:val="0043748C"/>
    <w:rsid w:val="00444367"/>
    <w:rsid w:val="00E33680"/>
    <w:rsid w:val="00E9416B"/>
    <w:rsid w:val="00F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941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1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E941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1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9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1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941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1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E941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1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9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1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3</cp:revision>
  <dcterms:created xsi:type="dcterms:W3CDTF">2026-02-24T14:15:00Z</dcterms:created>
  <dcterms:modified xsi:type="dcterms:W3CDTF">2026-03-16T08:17:00Z</dcterms:modified>
</cp:coreProperties>
</file>