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B3" w:rsidRDefault="00CC7A3E">
      <w:pPr>
        <w:spacing w:line="276" w:lineRule="auto"/>
        <w:jc w:val="center"/>
        <w:rPr>
          <w:b/>
          <w:bCs/>
          <w:sz w:val="32"/>
          <w:szCs w:val="32"/>
        </w:rPr>
      </w:pPr>
      <w:r w:rsidRPr="007176B3">
        <w:rPr>
          <w:b/>
          <w:bCs/>
          <w:sz w:val="32"/>
          <w:szCs w:val="32"/>
        </w:rPr>
        <w:t>Доклад: «</w:t>
      </w:r>
      <w:bookmarkStart w:id="0" w:name="_GoBack"/>
      <w:r w:rsidRPr="007176B3">
        <w:rPr>
          <w:b/>
          <w:bCs/>
          <w:sz w:val="32"/>
          <w:szCs w:val="32"/>
        </w:rPr>
        <w:t xml:space="preserve">Итоги контрольной (надзорной) деятельности </w:t>
      </w:r>
    </w:p>
    <w:p w:rsidR="009E0E37" w:rsidRPr="007176B3" w:rsidRDefault="00CC7A3E">
      <w:pPr>
        <w:spacing w:line="276" w:lineRule="auto"/>
        <w:jc w:val="center"/>
        <w:rPr>
          <w:sz w:val="32"/>
          <w:szCs w:val="32"/>
        </w:rPr>
      </w:pPr>
      <w:r w:rsidRPr="007176B3">
        <w:rPr>
          <w:b/>
          <w:bCs/>
          <w:sz w:val="32"/>
          <w:szCs w:val="32"/>
        </w:rPr>
        <w:t xml:space="preserve">по осуществлению государственного </w:t>
      </w:r>
      <w:r w:rsidR="00E713AD">
        <w:rPr>
          <w:b/>
          <w:bCs/>
          <w:sz w:val="32"/>
          <w:szCs w:val="32"/>
        </w:rPr>
        <w:t xml:space="preserve">энергетического </w:t>
      </w:r>
      <w:r w:rsidRPr="007176B3">
        <w:rPr>
          <w:b/>
          <w:bCs/>
          <w:sz w:val="32"/>
          <w:szCs w:val="32"/>
        </w:rPr>
        <w:t xml:space="preserve">надзора </w:t>
      </w:r>
      <w:r w:rsidR="00E713AD">
        <w:rPr>
          <w:b/>
          <w:bCs/>
          <w:sz w:val="32"/>
          <w:szCs w:val="32"/>
        </w:rPr>
        <w:br/>
      </w:r>
      <w:r w:rsidRPr="007176B3">
        <w:rPr>
          <w:b/>
          <w:bCs/>
          <w:sz w:val="32"/>
          <w:szCs w:val="32"/>
        </w:rPr>
        <w:t xml:space="preserve">на объектах Республики Мордовия </w:t>
      </w:r>
      <w:r w:rsidRPr="007176B3">
        <w:rPr>
          <w:b/>
          <w:bCs/>
          <w:color w:val="000000"/>
          <w:sz w:val="32"/>
          <w:szCs w:val="32"/>
        </w:rPr>
        <w:t>за 9 месяцев 2024 года</w:t>
      </w:r>
      <w:bookmarkEnd w:id="0"/>
      <w:r w:rsidRPr="007176B3">
        <w:rPr>
          <w:b/>
          <w:bCs/>
          <w:color w:val="000000"/>
          <w:sz w:val="32"/>
          <w:szCs w:val="32"/>
        </w:rPr>
        <w:t>»</w:t>
      </w:r>
    </w:p>
    <w:p w:rsidR="009E0E37" w:rsidRDefault="009E0E37" w:rsidP="007176B3">
      <w:pPr>
        <w:spacing w:line="276" w:lineRule="auto"/>
        <w:jc w:val="both"/>
      </w:pP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 xml:space="preserve">Волжско-Окское управление Ростехнадзора осуществляет </w:t>
      </w:r>
      <w:r w:rsidR="007176B3">
        <w:rPr>
          <w:rFonts w:eastAsia="Calibri"/>
          <w:sz w:val="32"/>
          <w:szCs w:val="32"/>
          <w:lang w:eastAsia="en-US"/>
        </w:rPr>
        <w:br/>
      </w:r>
      <w:r w:rsidRPr="007176B3">
        <w:rPr>
          <w:rFonts w:eastAsia="Calibri"/>
          <w:sz w:val="32"/>
          <w:szCs w:val="32"/>
          <w:lang w:eastAsia="en-US"/>
        </w:rPr>
        <w:t>на территории Республики Мордовия федеральный государственный энергетический надзор в отношении 616 организаций, в том числе: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- высокого риска – 3;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- значительного риска – 30;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- среднего риска – 66;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- умеренного риска – 51;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- низкого риска – 466.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Общее число поднадзорных объектов – 7388, из них: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Тепловых электростанций – 2 ед.;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Малых технологических электростанций – 253 ед.;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Гидроэлектростанции – 1 ед.;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Котельных – 205 ед., из них: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 xml:space="preserve">      производственных – 0 ед.;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 xml:space="preserve">      отопительно-производственных – 0 ед.;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 xml:space="preserve">      отопительных – 205 ед.;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Электрических подстанций – 6899 ед.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Протяжённость тепловых сетей (в двухтрубном исчислении) – 470,2 км.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Протяжённость линий электропередачи – 27315 км, в том числе: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 xml:space="preserve">      напряжением до 1 кВ – 14478 км;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 xml:space="preserve">      напряжением выше 1 до 110 кВ – 12552 км;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 xml:space="preserve">      напряжением 220 кВ и выше – 285 км.</w:t>
      </w:r>
    </w:p>
    <w:p w:rsidR="009E0E37" w:rsidRPr="007176B3" w:rsidRDefault="00CC7A3E" w:rsidP="007176B3">
      <w:pPr>
        <w:spacing w:line="276" w:lineRule="auto"/>
        <w:ind w:firstLine="624"/>
        <w:jc w:val="both"/>
        <w:rPr>
          <w:sz w:val="32"/>
          <w:szCs w:val="32"/>
        </w:rPr>
      </w:pPr>
      <w:r w:rsidRPr="007176B3">
        <w:rPr>
          <w:rFonts w:eastAsia="Calibri"/>
          <w:sz w:val="32"/>
          <w:szCs w:val="32"/>
          <w:lang w:eastAsia="en-US"/>
        </w:rPr>
        <w:t>Наиболее крупными поднадзорными предприятиями (юридическими лицами), расположенными на территории Республики Мордовия, являются: Филиал ПАО «Россети Волга» - «Мордовэнерго», Филиал «Мордовский» ПАО «Т Плюс», АО «Рузхиммаш», АО «Мордовцемент», ООО «ВКМ-Сталь», АО «Саранский телевизионный завод», ФКП «Саранский механический завод», ПАО «Биохимик», ПАО «Электровыпрямитель», ОАО «Ковылкинский комбикормовый завод».</w:t>
      </w:r>
    </w:p>
    <w:p w:rsidR="009E0E37" w:rsidRDefault="009E0E37">
      <w:pPr>
        <w:spacing w:line="360" w:lineRule="auto"/>
        <w:ind w:firstLine="709"/>
        <w:jc w:val="both"/>
      </w:pPr>
    </w:p>
    <w:p w:rsidR="007176B3" w:rsidRDefault="007176B3">
      <w:pPr>
        <w:jc w:val="both"/>
        <w:rPr>
          <w:rFonts w:eastAsia="Calibri"/>
          <w:b/>
          <w:bCs/>
          <w:lang w:eastAsia="en-US"/>
        </w:rPr>
      </w:pPr>
    </w:p>
    <w:p w:rsidR="007176B3" w:rsidRDefault="007176B3">
      <w:pPr>
        <w:jc w:val="both"/>
        <w:rPr>
          <w:rFonts w:eastAsia="Calibri"/>
          <w:b/>
          <w:bCs/>
          <w:lang w:eastAsia="en-US"/>
        </w:rPr>
      </w:pPr>
    </w:p>
    <w:p w:rsidR="009E0E37" w:rsidRDefault="00CC7A3E" w:rsidP="007176B3">
      <w:pPr>
        <w:jc w:val="center"/>
      </w:pPr>
      <w:r>
        <w:rPr>
          <w:rFonts w:eastAsia="Calibri"/>
          <w:b/>
          <w:bCs/>
          <w:lang w:eastAsia="en-US"/>
        </w:rPr>
        <w:t>КОНТРОЛЬНАЯ (НАДЗОРНАЯ) ДЕЯТ</w:t>
      </w:r>
      <w:r w:rsidR="007176B3">
        <w:rPr>
          <w:rFonts w:eastAsia="Calibri"/>
          <w:b/>
          <w:bCs/>
          <w:lang w:eastAsia="en-US"/>
        </w:rPr>
        <w:t>ЕЛЬНОСТЬ НА ОБЪЕКТАХ ЭНЕРГЕТИКИ</w:t>
      </w:r>
    </w:p>
    <w:p w:rsidR="009E0E37" w:rsidRDefault="009E0E37">
      <w:pPr>
        <w:jc w:val="both"/>
        <w:rPr>
          <w:b/>
          <w:bCs/>
        </w:rPr>
      </w:pPr>
    </w:p>
    <w:tbl>
      <w:tblPr>
        <w:tblW w:w="10140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4494"/>
        <w:gridCol w:w="900"/>
        <w:gridCol w:w="1341"/>
        <w:gridCol w:w="1305"/>
        <w:gridCol w:w="1305"/>
      </w:tblGrid>
      <w:tr w:rsidR="009E0E37">
        <w:trPr>
          <w:trHeight w:val="5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№ п/п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2022г.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2023г.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9 мес. 2023г.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9 мес. 2024г.</w:t>
            </w:r>
          </w:p>
        </w:tc>
      </w:tr>
      <w:tr w:rsidR="009E0E3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Общее количество контрольных (надзорных) мероприятий, всего,</w:t>
            </w:r>
            <w:r>
              <w:br/>
              <w:t>из них: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157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186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95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204</w:t>
            </w:r>
          </w:p>
        </w:tc>
      </w:tr>
      <w:tr w:rsidR="009E0E37">
        <w:trPr>
          <w:trHeight w:val="31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1.1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плановые проверки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6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</w:t>
            </w:r>
          </w:p>
        </w:tc>
      </w:tr>
      <w:tr w:rsidR="009E0E3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1.2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внеплановые проверки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151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186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95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203</w:t>
            </w:r>
          </w:p>
        </w:tc>
      </w:tr>
      <w:tr w:rsidR="009E0E3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Выявлено правонарушений, 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508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288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99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1488</w:t>
            </w:r>
          </w:p>
        </w:tc>
      </w:tr>
      <w:tr w:rsidR="009E0E3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Общее количество административных наказаний, всего,</w:t>
            </w:r>
            <w:r>
              <w:br/>
              <w:t>из них: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27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43</w:t>
            </w:r>
          </w:p>
        </w:tc>
      </w:tr>
      <w:tr w:rsidR="009E0E3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3.1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административное приостановление деятельности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0</w:t>
            </w:r>
          </w:p>
        </w:tc>
      </w:tr>
      <w:tr w:rsidR="009E0E3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3.2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предупреждение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3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3</w:t>
            </w:r>
          </w:p>
        </w:tc>
      </w:tr>
      <w:tr w:rsidR="009E0E3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3.3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административный штраф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24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40</w:t>
            </w:r>
          </w:p>
        </w:tc>
      </w:tr>
      <w:tr w:rsidR="009E0E3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4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Общая сумма наложенных административных штрафов, (тыс. руб.)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234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48,5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27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37" w:rsidRDefault="00CC7A3E">
            <w:pPr>
              <w:contextualSpacing/>
              <w:jc w:val="both"/>
            </w:pPr>
            <w:r>
              <w:t>150</w:t>
            </w:r>
          </w:p>
        </w:tc>
      </w:tr>
    </w:tbl>
    <w:p w:rsidR="009E0E37" w:rsidRDefault="009E0E37">
      <w:pPr>
        <w:rPr>
          <w:b/>
          <w:bCs/>
        </w:rPr>
      </w:pP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Территориальным отделом технологического и энергетического надзора по Республике Мордовия Волжско-Окского управления Федеральной службы по экологическому, технологическому и атомному надзору в период с 20.05.2024 года по 29.05.2024 года проведена плановая выездная проверка филиала ПАО «Россети-Волга»-«Мордовэнерго».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Проверка проводилась в 4 производственных отделениях: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Саранское производственное отделение;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Ковылкинское производственное отделение; 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Комсомольское производственное отделение; 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Краснослободское производственное отделение.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При проведении проверки выявлено 1036 нарушений обязательных требований.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В ходе проведения проверки устранено 249 нарушений.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Выдано предписание об устранении 787 нарушений, со сроками устранения до 30.08.2024 и 30.11.2024 года.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По результатам проведения проверки возбуждены дела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 xml:space="preserve">об административных нарушениях в отношении 30 должностных лиц 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>и 1 юридического лица.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Основными нарушениями, выявленными при проведении проверки являются:</w:t>
      </w:r>
    </w:p>
    <w:p w:rsidR="009E0E37" w:rsidRPr="007176B3" w:rsidRDefault="00CC7A3E" w:rsidP="007176B3">
      <w:pPr>
        <w:spacing w:line="276" w:lineRule="auto"/>
        <w:jc w:val="both"/>
        <w:rPr>
          <w:sz w:val="32"/>
          <w:szCs w:val="32"/>
        </w:rPr>
      </w:pPr>
      <w:r w:rsidRPr="007176B3">
        <w:rPr>
          <w:sz w:val="32"/>
          <w:szCs w:val="32"/>
        </w:rPr>
        <w:lastRenderedPageBreak/>
        <w:t xml:space="preserve">- </w:t>
      </w:r>
      <w:r w:rsidR="007176B3">
        <w:rPr>
          <w:sz w:val="32"/>
          <w:szCs w:val="32"/>
        </w:rPr>
        <w:t>н</w:t>
      </w:r>
      <w:r w:rsidRPr="007176B3">
        <w:rPr>
          <w:sz w:val="32"/>
          <w:szCs w:val="32"/>
        </w:rPr>
        <w:t xml:space="preserve">е проведение своевременного пересмотра </w:t>
      </w:r>
      <w:r w:rsidR="007176B3">
        <w:rPr>
          <w:sz w:val="32"/>
          <w:szCs w:val="32"/>
        </w:rPr>
        <w:t>и внесения данных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>в эксплуатационную и техническую документацию;</w:t>
      </w:r>
    </w:p>
    <w:p w:rsidR="009E0E37" w:rsidRPr="007176B3" w:rsidRDefault="007176B3" w:rsidP="007176B3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н</w:t>
      </w:r>
      <w:r w:rsidR="00CC7A3E" w:rsidRPr="007176B3">
        <w:rPr>
          <w:sz w:val="32"/>
          <w:szCs w:val="32"/>
        </w:rPr>
        <w:t>е проведение своевременного технического обслуживания  и ремонта оборудования ОРУ-110/35кВ, ТП-10/0,4кВ и ВЛ-110/35/10/0,4кВ.</w:t>
      </w:r>
    </w:p>
    <w:p w:rsidR="009E0E37" w:rsidRDefault="009E0E37">
      <w:pPr>
        <w:jc w:val="both"/>
      </w:pP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За 9 месяцев 2024 г. на территории Республики Мордовия Ростехнадзором: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1) Допущено в эксплуатацию 70 новых, реконструированных  энергоустановки (электроустановок - 19, тепловых энергоустановок - 51), в том числе: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ввод в эксплуатацию КТПН-2х1000кВА/6/0,4кВ ООО «Рент-Групп» по адресу: Республика Мордовия, г. Саранск, ул. Васенко, д. 11;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реконструкция ОРУ-35кВ 2 ТМН-6300-35/10кВ, 2 НТОЛП-НТЗ-10-IV комплектного устройства ДЗТ-10 АПС ООО МПК «Атяшевский», по адресу: Республика Мордовия, Атяшевский район, п. Атяшево;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реконструкция ОРУ-10кВ ВСП АО «Рузхиммаш», по адресу: Республика Мордовия, г. Рузаевка;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ввод в эксплуатацию 2 водогрейных котлов VITOMAX 5МВт ООО МПК «Атяшевский», по адресу: Республика Мордовия, Атяшевский район, п. Атяшево;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- ввод в эксплуатацию 12 ЦТП филиала «Мордовский»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>ПАО «Т Плюс» по адресу: Республика Мордовия, г.о. Саранск.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2) Согласовано 193 границ охранных зон объектов электросетевого хозяйства.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3) Рассмотрено 35 заявления о регистрации электролабораторий.</w:t>
      </w:r>
    </w:p>
    <w:p w:rsidR="007176B3" w:rsidRDefault="007176B3" w:rsidP="007176B3">
      <w:pPr>
        <w:spacing w:line="276" w:lineRule="auto"/>
        <w:ind w:firstLine="709"/>
        <w:jc w:val="both"/>
        <w:rPr>
          <w:sz w:val="32"/>
          <w:szCs w:val="32"/>
        </w:rPr>
      </w:pP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Управлением, в рамках подготовки к предстоящему осенне-зимнему периоду 2024-2025 годов, с марта 2024 года начата реализация комплекса мероприятий по информированию администраций муниципальных районов и представителей теплоснабжающих организаций (далее - ТСО) по разъяснению норм действующего законодательства и сбору актуальной информации по перечню объектов теплоснабжения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 xml:space="preserve">и тепловых сетей, находящихся на территориях муниципальных образований Республики Мордовия. Во все районы и ТСО бы направлены информационные письма различной тематики. 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lastRenderedPageBreak/>
        <w:t xml:space="preserve">Было осуществлено 302 информирования поднадзорных организаций, органов местного самоуправления, в том числе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 xml:space="preserve">с использованием официального сайта Управления, о случаях аварийности и травматизма в энергетике, уроках, извлеченных из них,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 xml:space="preserve">о разъяснениях по работе комиссий органов местного самоуправления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 xml:space="preserve">по проверке готовности ТСО к отопительному периоду, о вступивших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>в силу изменениях в нормативно-правовые акты, и по другим вопросам</w:t>
      </w:r>
      <w:r w:rsidR="007176B3">
        <w:rPr>
          <w:sz w:val="32"/>
          <w:szCs w:val="32"/>
        </w:rPr>
        <w:t>.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В том числе в ходе осуществления контрольно-надзорной деятельности и проверок хода подготовки к отопительному периоду, поднадзорных организаций по вопросам соблюдения обязательных требований, установленных нормативно-правовыми актами осуществлено 501 консультирование.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По имеющейся информации и поступившим сведениям о фактах нарушений обязательных требований или признаках нарушений обязательных требований сотрудниками Управления выдано 13 предостережений о недопустимости нарушения обязательных требований с предложением принять меры по обеспечению соблюдения обязательных требований. 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Также в адрес всех муниципальных районов были направлены письма с предложением о включении в комиссии по проверке готовности ТСО представителей Управления.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В соответствии с Приказом Министерства энергетики Российской Федерации от 12.03.2013 №103 «Об утверждении Правил оценки готовности к отопительному периоду» (далее - Правила) в период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>с 23</w:t>
      </w:r>
      <w:r w:rsidR="007176B3">
        <w:rPr>
          <w:sz w:val="32"/>
          <w:szCs w:val="32"/>
        </w:rPr>
        <w:t xml:space="preserve"> сентября по</w:t>
      </w:r>
      <w:r w:rsidRPr="007176B3">
        <w:rPr>
          <w:sz w:val="32"/>
          <w:szCs w:val="32"/>
        </w:rPr>
        <w:t xml:space="preserve"> 14</w:t>
      </w:r>
      <w:r w:rsidR="007176B3">
        <w:rPr>
          <w:sz w:val="32"/>
          <w:szCs w:val="32"/>
        </w:rPr>
        <w:t xml:space="preserve"> ноября </w:t>
      </w:r>
      <w:r w:rsidRPr="007176B3">
        <w:rPr>
          <w:sz w:val="32"/>
          <w:szCs w:val="32"/>
        </w:rPr>
        <w:t xml:space="preserve">2024 </w:t>
      </w:r>
      <w:r w:rsidR="007176B3">
        <w:rPr>
          <w:sz w:val="32"/>
          <w:szCs w:val="32"/>
        </w:rPr>
        <w:t xml:space="preserve">года </w:t>
      </w:r>
      <w:r w:rsidRPr="007176B3">
        <w:rPr>
          <w:sz w:val="32"/>
          <w:szCs w:val="32"/>
        </w:rPr>
        <w:t xml:space="preserve">Волжско-Окским управлением Ростехнадзора осуществлена оценка готовности муниципальных образований </w:t>
      </w:r>
      <w:r w:rsidR="007176B3">
        <w:rPr>
          <w:sz w:val="32"/>
          <w:szCs w:val="32"/>
        </w:rPr>
        <w:t xml:space="preserve">к работе в отопительный период </w:t>
      </w:r>
      <w:r w:rsidRPr="007176B3">
        <w:rPr>
          <w:sz w:val="32"/>
          <w:szCs w:val="32"/>
        </w:rPr>
        <w:t xml:space="preserve">2024/2025 годов. 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Оценке готовности подлежал 21 муниципальный район Республики Мордовия (20 муниципальных районов и 1 городской округ), в которых осуществляют свою деятельность теплоснабжающие (теплосетевые) организации.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На первоначальном этапе проведения проверок было выявлено 202 нарушения обязательных требований. 17 муниципальным образованиям республики из 21 были выданы акты неготовности (с замечаниями) к работе в отопительный период 2024/2025 годов (только 4 района республики: Атюрьевский, Ельниковский, Краснослободский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lastRenderedPageBreak/>
        <w:t>и Чамзинский были признаны готовыми к работе в отопительный период и им выданы акты готовности).</w:t>
      </w:r>
    </w:p>
    <w:p w:rsidR="009E0E37" w:rsidRPr="007176B3" w:rsidRDefault="009E0E37" w:rsidP="007176B3">
      <w:pPr>
        <w:spacing w:line="276" w:lineRule="auto"/>
        <w:jc w:val="both"/>
        <w:rPr>
          <w:sz w:val="32"/>
          <w:szCs w:val="32"/>
        </w:rPr>
      </w:pP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В период с 10</w:t>
      </w:r>
      <w:r w:rsidR="007176B3">
        <w:rPr>
          <w:sz w:val="32"/>
          <w:szCs w:val="32"/>
        </w:rPr>
        <w:t xml:space="preserve"> октября по 14 ноября </w:t>
      </w:r>
      <w:r w:rsidRPr="007176B3">
        <w:rPr>
          <w:sz w:val="32"/>
          <w:szCs w:val="32"/>
        </w:rPr>
        <w:t>2024</w:t>
      </w:r>
      <w:r w:rsidR="007176B3">
        <w:rPr>
          <w:sz w:val="32"/>
          <w:szCs w:val="32"/>
        </w:rPr>
        <w:t xml:space="preserve"> года, по результатам поступившей от </w:t>
      </w:r>
      <w:r w:rsidRPr="007176B3">
        <w:rPr>
          <w:sz w:val="32"/>
          <w:szCs w:val="32"/>
        </w:rPr>
        <w:t>муниципальных образований информации об устранении ранее выявленных нарушений, Управлением были организованы повторные проверки муниципальных образований. По результатам проведенных повторных проверок было установлено, что ранее выявленные замечания муниципальными районами устранены.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Таким образом, всем 21 муниципальным районам Республики Мордовия выданы акты и паспорта готовности к работе в отопительный период 2024/2025 годов.</w:t>
      </w:r>
    </w:p>
    <w:p w:rsidR="007176B3" w:rsidRDefault="007176B3" w:rsidP="007176B3">
      <w:pPr>
        <w:spacing w:line="276" w:lineRule="auto"/>
        <w:ind w:firstLine="709"/>
        <w:jc w:val="both"/>
        <w:rPr>
          <w:sz w:val="32"/>
          <w:szCs w:val="32"/>
        </w:rPr>
      </w:pP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В соответствии с поручением Правительства Российской Федерации от 01.08.2024 № АН-П51-24993 и </w:t>
      </w:r>
      <w:r w:rsidR="007176B3">
        <w:rPr>
          <w:sz w:val="32"/>
          <w:szCs w:val="32"/>
        </w:rPr>
        <w:t>п</w:t>
      </w:r>
      <w:r w:rsidRPr="007176B3">
        <w:rPr>
          <w:sz w:val="32"/>
          <w:szCs w:val="32"/>
        </w:rPr>
        <w:t xml:space="preserve">риказом Волжско-Окского управления от 12.08.2024 № ПР-311-247-о проведены проверки хода подготовки  следующих объектов электроэнергетики и теплоснабжения к работе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>в осенне-зимний период 2024-2025 годов: Акционерного общества Техническая фирма «Ватт», Акционерного общества «Мордовская Электросетевая Компания»,  Филиала «Мордовский» ПАО «Т Плюс» - Муниципального предприятия Ковылкинского муниципального райо</w:t>
      </w:r>
      <w:r w:rsidR="007176B3">
        <w:rPr>
          <w:sz w:val="32"/>
          <w:szCs w:val="32"/>
        </w:rPr>
        <w:t>на «Ковылкинские тепловые сети»</w:t>
      </w:r>
      <w:r w:rsidRPr="007176B3">
        <w:rPr>
          <w:sz w:val="32"/>
          <w:szCs w:val="32"/>
        </w:rPr>
        <w:t>.</w:t>
      </w:r>
      <w:r w:rsidR="007176B3">
        <w:rPr>
          <w:sz w:val="32"/>
          <w:szCs w:val="32"/>
        </w:rPr>
        <w:t xml:space="preserve"> </w:t>
      </w:r>
      <w:r w:rsidRPr="007176B3">
        <w:rPr>
          <w:sz w:val="32"/>
          <w:szCs w:val="32"/>
        </w:rPr>
        <w:t xml:space="preserve">В области промышленной безопасности были проведены проверки </w:t>
      </w:r>
      <w:r w:rsidR="007176B3">
        <w:rPr>
          <w:sz w:val="32"/>
          <w:szCs w:val="32"/>
        </w:rPr>
        <w:t xml:space="preserve">в </w:t>
      </w:r>
      <w:r w:rsidRPr="007176B3">
        <w:rPr>
          <w:sz w:val="32"/>
          <w:szCs w:val="32"/>
        </w:rPr>
        <w:t>отношении двух опасных производственных объектов Фи</w:t>
      </w:r>
      <w:r w:rsidR="007176B3">
        <w:rPr>
          <w:sz w:val="32"/>
          <w:szCs w:val="32"/>
        </w:rPr>
        <w:t>лиала «Мордовский» ПАО «Т Плюс».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В процессе проведения внеплановых проверок выявлено 486 нарушений обязательных требований, руководителям предприятий выданы предписания, Привлечены к административной ответственности  4 юридических лица и 20 должностных лиц. 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Сотрудниками Управления проведена</w:t>
      </w:r>
      <w:r w:rsidR="007176B3">
        <w:rPr>
          <w:sz w:val="32"/>
          <w:szCs w:val="32"/>
        </w:rPr>
        <w:t xml:space="preserve"> оценка исполнения предписания </w:t>
      </w:r>
      <w:r w:rsidRPr="007176B3">
        <w:rPr>
          <w:sz w:val="32"/>
          <w:szCs w:val="32"/>
        </w:rPr>
        <w:t>Ростехнадзора МП Ковылкинского муниципального района «Ковылкинские тепловые сети», АО «Мордовская электросеть</w:t>
      </w:r>
      <w:r w:rsidR="007176B3">
        <w:rPr>
          <w:sz w:val="32"/>
          <w:szCs w:val="32"/>
        </w:rPr>
        <w:t xml:space="preserve">», </w:t>
      </w:r>
      <w:r w:rsidR="007176B3">
        <w:rPr>
          <w:sz w:val="32"/>
          <w:szCs w:val="32"/>
        </w:rPr>
        <w:br/>
        <w:t xml:space="preserve">АО ТФ «Ватт», ПАО «Т Плюс». </w:t>
      </w:r>
      <w:r w:rsidRPr="007176B3">
        <w:rPr>
          <w:sz w:val="32"/>
          <w:szCs w:val="32"/>
        </w:rPr>
        <w:t>По результатам рассмотрения представленных материалов, нарушения указанные в предписаниях со сроком исполнения до 15.11.2024 устранены.</w:t>
      </w:r>
    </w:p>
    <w:p w:rsidR="009E0E37" w:rsidRDefault="009E0E37">
      <w:pPr>
        <w:jc w:val="both"/>
      </w:pPr>
    </w:p>
    <w:p w:rsidR="007176B3" w:rsidRDefault="007176B3">
      <w:pPr>
        <w:rPr>
          <w:b/>
          <w:bCs/>
        </w:rPr>
      </w:pPr>
      <w:r>
        <w:rPr>
          <w:b/>
          <w:bCs/>
        </w:rPr>
        <w:br w:type="page"/>
      </w:r>
    </w:p>
    <w:p w:rsidR="009E0E37" w:rsidRDefault="00CC7A3E" w:rsidP="007176B3">
      <w:pPr>
        <w:jc w:val="center"/>
      </w:pPr>
      <w:r>
        <w:rPr>
          <w:b/>
          <w:bCs/>
        </w:rPr>
        <w:lastRenderedPageBreak/>
        <w:t>ОСНОВНЫЕ НАРУШЕНИЯ ВЫЯВЛЕННЫЕ В РАМКАХ ФЕДЕР</w:t>
      </w:r>
      <w:r w:rsidR="007176B3">
        <w:rPr>
          <w:b/>
          <w:bCs/>
        </w:rPr>
        <w:t>АЛЬНОГО ЭНЕРГЕТИЧЕСКОГО НАДЗОРА</w:t>
      </w:r>
    </w:p>
    <w:p w:rsidR="007176B3" w:rsidRDefault="007176B3" w:rsidP="007176B3">
      <w:pPr>
        <w:ind w:firstLine="709"/>
        <w:jc w:val="both"/>
        <w:rPr>
          <w:sz w:val="32"/>
          <w:szCs w:val="32"/>
        </w:rPr>
      </w:pPr>
    </w:p>
    <w:p w:rsidR="009E0E37" w:rsidRPr="007176B3" w:rsidRDefault="00CC7A3E" w:rsidP="007176B3">
      <w:pPr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В сфере электроэнергетики: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не укомплектованность обученным, прошедшим подготовку персоналом;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- не соблюдение сроков проведения работ и их выполнения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>по графику технического обслуживания и ремонта оборудования;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не проведение работ по техническому обслуживанию и ремонту оборудования;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не утверждены годовые графики технического обслуживания устройств РЗА;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не оформлены на каждое устройство РЗА и вторичное оборудование паспорта-протоколы;</w:t>
      </w:r>
    </w:p>
    <w:p w:rsidR="009E0E37" w:rsidRP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владельцем объекта электроэнергетики не обеспечены проведения профилактических испытаний электрооборудования.</w:t>
      </w:r>
    </w:p>
    <w:p w:rsidR="007176B3" w:rsidRDefault="007176B3" w:rsidP="007176B3">
      <w:pPr>
        <w:spacing w:line="276" w:lineRule="auto"/>
        <w:jc w:val="both"/>
        <w:rPr>
          <w:sz w:val="32"/>
          <w:szCs w:val="32"/>
        </w:rPr>
      </w:pP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В сфере теплоснабжения: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- в технические паспорта тепловых энергоустановок не вносятся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>все изменения, выявленные и произведенные во время ремонта;</w:t>
      </w:r>
    </w:p>
    <w:p w:rsidR="007176B3" w:rsidRDefault="00CC7A3E" w:rsidP="007176B3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- персонал, принимающий непосредственное участие в эксплуатации тепловых энергоустановок, их наладке, регулировании, испытаниях </w:t>
      </w:r>
      <w:r w:rsidR="007176B3">
        <w:rPr>
          <w:sz w:val="32"/>
          <w:szCs w:val="32"/>
        </w:rPr>
        <w:br/>
      </w:r>
      <w:r w:rsidRPr="007176B3">
        <w:rPr>
          <w:sz w:val="32"/>
          <w:szCs w:val="32"/>
        </w:rPr>
        <w:t>не прошел очередную проверку знаний Правил технической эксплуатации тепловых энергоустановок;</w:t>
      </w: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- отсутствует распорядительный документ о создании комиссии </w:t>
      </w:r>
      <w:r w:rsidR="00D97CD6">
        <w:rPr>
          <w:sz w:val="32"/>
          <w:szCs w:val="32"/>
        </w:rPr>
        <w:br/>
      </w:r>
      <w:r w:rsidRPr="007176B3">
        <w:rPr>
          <w:sz w:val="32"/>
          <w:szCs w:val="32"/>
        </w:rPr>
        <w:t>для периодического и внеочередного технического освидетельствования теплоэнергетического оборудования;</w:t>
      </w: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- не составлена инструкция по эксплуатации дымовых труб </w:t>
      </w:r>
      <w:r w:rsidR="00D97CD6">
        <w:rPr>
          <w:sz w:val="32"/>
          <w:szCs w:val="32"/>
        </w:rPr>
        <w:br/>
      </w:r>
      <w:r w:rsidRPr="007176B3">
        <w:rPr>
          <w:sz w:val="32"/>
          <w:szCs w:val="32"/>
        </w:rPr>
        <w:t>и газоходов;</w:t>
      </w: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- не составлен план, для осуществления контроля за металлом тепловых энергоустановок, предусматривающий техническое диагностирование оборудования, отработавшего расчетный ресурс, </w:t>
      </w:r>
      <w:r w:rsidR="00D97CD6">
        <w:rPr>
          <w:sz w:val="32"/>
          <w:szCs w:val="32"/>
        </w:rPr>
        <w:br/>
      </w:r>
      <w:r w:rsidRPr="007176B3">
        <w:rPr>
          <w:sz w:val="32"/>
          <w:szCs w:val="32"/>
        </w:rPr>
        <w:t>в целях определения дополнительного срока службы и разработки мероприятий, обеспечивающих надежную работу;</w:t>
      </w:r>
    </w:p>
    <w:p w:rsidR="009E0E37" w:rsidRPr="007176B3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 xml:space="preserve">- не обеспечен систематический контроль за наличием защиты </w:t>
      </w:r>
      <w:r w:rsidR="00D97CD6">
        <w:rPr>
          <w:sz w:val="32"/>
          <w:szCs w:val="32"/>
        </w:rPr>
        <w:br/>
      </w:r>
      <w:r w:rsidRPr="007176B3">
        <w:rPr>
          <w:sz w:val="32"/>
          <w:szCs w:val="32"/>
        </w:rPr>
        <w:t>от коррозии металлических конструкций котельных от коррозии.</w:t>
      </w:r>
    </w:p>
    <w:p w:rsidR="00D97CD6" w:rsidRDefault="00D97C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9E0E37" w:rsidRPr="00D97CD6" w:rsidRDefault="00D97CD6" w:rsidP="00D97CD6">
      <w:pPr>
        <w:spacing w:line="276" w:lineRule="auto"/>
        <w:jc w:val="center"/>
      </w:pPr>
      <w:r w:rsidRPr="00D97CD6">
        <w:rPr>
          <w:b/>
          <w:bCs/>
        </w:rPr>
        <w:lastRenderedPageBreak/>
        <w:t>ПРОФИЛАКТИЧЕСКИЕ МЕРОПРИЯТИЯ</w:t>
      </w:r>
    </w:p>
    <w:p w:rsidR="00D97CD6" w:rsidRDefault="00D97CD6" w:rsidP="007176B3">
      <w:pPr>
        <w:spacing w:line="276" w:lineRule="auto"/>
        <w:jc w:val="both"/>
        <w:rPr>
          <w:sz w:val="32"/>
          <w:szCs w:val="32"/>
        </w:rPr>
      </w:pP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Количество примененных мер профилактического воздействия</w:t>
      </w:r>
      <w:r w:rsidR="00D97CD6">
        <w:rPr>
          <w:sz w:val="32"/>
          <w:szCs w:val="32"/>
        </w:rPr>
        <w:t xml:space="preserve"> </w:t>
      </w:r>
      <w:r w:rsidR="00D97CD6">
        <w:rPr>
          <w:sz w:val="32"/>
          <w:szCs w:val="32"/>
        </w:rPr>
        <w:br/>
        <w:t>з</w:t>
      </w:r>
      <w:r w:rsidR="00D97CD6" w:rsidRPr="007176B3">
        <w:rPr>
          <w:sz w:val="32"/>
          <w:szCs w:val="32"/>
        </w:rPr>
        <w:t>а 9 месяцев 2024 года на территории Республики Мордо</w:t>
      </w:r>
      <w:r w:rsidR="00D97CD6">
        <w:rPr>
          <w:sz w:val="32"/>
          <w:szCs w:val="32"/>
        </w:rPr>
        <w:t>вия</w:t>
      </w:r>
      <w:r w:rsidRPr="007176B3">
        <w:rPr>
          <w:sz w:val="32"/>
          <w:szCs w:val="32"/>
        </w:rPr>
        <w:t xml:space="preserve"> - 1882,</w:t>
      </w: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в том числе:</w:t>
      </w: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информирование - 1290;</w:t>
      </w: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объявление предостережений - 91;</w:t>
      </w:r>
    </w:p>
    <w:p w:rsidR="009E0E37" w:rsidRPr="00D97CD6" w:rsidRDefault="00D97CD6" w:rsidP="00D97CD6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t>консультирование -</w:t>
      </w:r>
      <w:r w:rsidR="00CC7A3E" w:rsidRPr="00D97CD6">
        <w:rPr>
          <w:bCs/>
          <w:sz w:val="32"/>
          <w:szCs w:val="32"/>
        </w:rPr>
        <w:t xml:space="preserve"> 501.</w:t>
      </w:r>
    </w:p>
    <w:p w:rsidR="00D97CD6" w:rsidRDefault="00D97CD6" w:rsidP="007176B3">
      <w:pPr>
        <w:spacing w:line="276" w:lineRule="auto"/>
        <w:jc w:val="both"/>
        <w:rPr>
          <w:b/>
          <w:bCs/>
          <w:sz w:val="32"/>
          <w:szCs w:val="32"/>
        </w:rPr>
      </w:pPr>
    </w:p>
    <w:p w:rsidR="009E0E37" w:rsidRDefault="00CC7A3E" w:rsidP="00D97CD6">
      <w:pPr>
        <w:spacing w:line="276" w:lineRule="auto"/>
        <w:jc w:val="center"/>
        <w:rPr>
          <w:b/>
          <w:bCs/>
        </w:rPr>
      </w:pPr>
      <w:r w:rsidRPr="00D97CD6">
        <w:rPr>
          <w:b/>
          <w:bCs/>
        </w:rPr>
        <w:t>ПРОБЛЕМНЫЕ ВОПРОСЫ, ВЫЯВЛЯЕМЫЕ В РАМКАХ ОС</w:t>
      </w:r>
      <w:r w:rsidR="00D97CD6" w:rsidRPr="00D97CD6">
        <w:rPr>
          <w:b/>
          <w:bCs/>
        </w:rPr>
        <w:t>УЩЕСТВЛЕНИЯ  КОНТРОЛЯ (НАДЗОРА)</w:t>
      </w:r>
    </w:p>
    <w:p w:rsidR="00D97CD6" w:rsidRPr="00D97CD6" w:rsidRDefault="00D97CD6" w:rsidP="00D97CD6">
      <w:pPr>
        <w:spacing w:line="276" w:lineRule="auto"/>
        <w:jc w:val="center"/>
        <w:rPr>
          <w:b/>
          <w:bCs/>
        </w:rPr>
      </w:pPr>
    </w:p>
    <w:p w:rsidR="00D97CD6" w:rsidRDefault="00D97CD6" w:rsidP="00D97CD6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высокий процент </w:t>
      </w:r>
      <w:r w:rsidR="00CC7A3E" w:rsidRPr="007176B3">
        <w:rPr>
          <w:sz w:val="32"/>
          <w:szCs w:val="32"/>
        </w:rPr>
        <w:t>износа основного оборудования трансформаторных подстанций, воздушных линий электропередачи, источников теплоснабжения, а также сетей теплоснабжения;</w:t>
      </w: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низкий уровень квалификации электро- и теплотехнического персонала;</w:t>
      </w: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недостаточная комплектация энергослужб квалифицированным персоналом;</w:t>
      </w: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недостаточный уровень инвестиций в обновление (модернизацию) энергетического оборудования;</w:t>
      </w:r>
    </w:p>
    <w:p w:rsid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смена организаций, осуществляющих эксплуатацию объектов теплоснабжения, накануне или в период подготовки к предстоящему отопительному периоду;</w:t>
      </w:r>
    </w:p>
    <w:p w:rsidR="009E0E37" w:rsidRPr="00D97CD6" w:rsidRDefault="00CC7A3E" w:rsidP="00D97CD6">
      <w:pPr>
        <w:spacing w:line="276" w:lineRule="auto"/>
        <w:ind w:firstLine="709"/>
        <w:jc w:val="both"/>
        <w:rPr>
          <w:sz w:val="32"/>
          <w:szCs w:val="32"/>
        </w:rPr>
      </w:pPr>
      <w:r w:rsidRPr="007176B3">
        <w:rPr>
          <w:sz w:val="32"/>
          <w:szCs w:val="32"/>
        </w:rPr>
        <w:t>- отток подготовленного оперативно-ремонтного, ремонтного персонала и специалистов организаций, эксплуатирующих энергетическое оборудование.</w:t>
      </w:r>
    </w:p>
    <w:sectPr w:rsidR="009E0E37" w:rsidRPr="00D97CD6" w:rsidSect="00D97CD6">
      <w:headerReference w:type="default" r:id="rId9"/>
      <w:pgSz w:w="11906" w:h="16838"/>
      <w:pgMar w:top="567" w:right="567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F8" w:rsidRDefault="00F60EF8" w:rsidP="00D97CD6">
      <w:r>
        <w:separator/>
      </w:r>
    </w:p>
  </w:endnote>
  <w:endnote w:type="continuationSeparator" w:id="0">
    <w:p w:rsidR="00F60EF8" w:rsidRDefault="00F60EF8" w:rsidP="00D9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rlito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F8" w:rsidRDefault="00F60EF8" w:rsidP="00D97CD6">
      <w:r>
        <w:separator/>
      </w:r>
    </w:p>
  </w:footnote>
  <w:footnote w:type="continuationSeparator" w:id="0">
    <w:p w:rsidR="00F60EF8" w:rsidRDefault="00F60EF8" w:rsidP="00D9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054899"/>
      <w:docPartObj>
        <w:docPartGallery w:val="Page Numbers (Top of Page)"/>
        <w:docPartUnique/>
      </w:docPartObj>
    </w:sdtPr>
    <w:sdtEndPr/>
    <w:sdtContent>
      <w:p w:rsidR="00D97CD6" w:rsidRDefault="00D97CD6">
        <w:pPr>
          <w:pStyle w:val="aff6"/>
          <w:jc w:val="center"/>
        </w:pPr>
      </w:p>
      <w:p w:rsidR="00D97CD6" w:rsidRDefault="00D97CD6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AD">
          <w:rPr>
            <w:noProof/>
          </w:rPr>
          <w:t>2</w:t>
        </w:r>
        <w:r>
          <w:fldChar w:fldCharType="end"/>
        </w:r>
      </w:p>
    </w:sdtContent>
  </w:sdt>
  <w:p w:rsidR="00D97CD6" w:rsidRDefault="00D97CD6">
    <w:pPr>
      <w:pStyle w:val="a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B61"/>
    <w:multiLevelType w:val="multilevel"/>
    <w:tmpl w:val="93943656"/>
    <w:lvl w:ilvl="0">
      <w:start w:val="1"/>
      <w:numFmt w:val="upperRoman"/>
      <w:lvlText w:val="(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9E0E37"/>
    <w:rsid w:val="00112610"/>
    <w:rsid w:val="007176B3"/>
    <w:rsid w:val="009E0E37"/>
    <w:rsid w:val="00CC7A3E"/>
    <w:rsid w:val="00D97CD6"/>
    <w:rsid w:val="00E713AD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71"/>
    <w:rPr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1"/>
    <w:link w:val="30"/>
    <w:qFormat/>
    <w:rsid w:val="00BB0E98"/>
    <w:pPr>
      <w:keepNext/>
      <w:numPr>
        <w:ilvl w:val="2"/>
        <w:numId w:val="1"/>
      </w:numPr>
      <w:spacing w:before="140" w:after="120"/>
      <w:outlineLvl w:val="2"/>
    </w:pPr>
    <w:rPr>
      <w:rFonts w:ascii="Open Sans" w:eastAsia="WenQuanYi Micro Hei" w:hAnsi="Open Sans" w:cs="Lohit Devanagari"/>
      <w:b/>
      <w:bCs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544FE0"/>
    <w:rPr>
      <w:color w:val="0000FF"/>
      <w:u w:val="single"/>
    </w:rPr>
  </w:style>
  <w:style w:type="character" w:customStyle="1" w:styleId="a6">
    <w:name w:val="Подзаголовок Знак"/>
    <w:link w:val="a7"/>
    <w:qFormat/>
    <w:rsid w:val="00AD0677"/>
    <w:rPr>
      <w:rFonts w:ascii="Cambria" w:hAnsi="Cambria"/>
      <w:sz w:val="24"/>
      <w:szCs w:val="24"/>
      <w:lang w:val="x-none" w:eastAsia="x-none"/>
    </w:rPr>
  </w:style>
  <w:style w:type="character" w:customStyle="1" w:styleId="a8">
    <w:name w:val="Обычный с отступом Знак"/>
    <w:link w:val="a9"/>
    <w:qFormat/>
    <w:rsid w:val="00D753DD"/>
    <w:rPr>
      <w:sz w:val="28"/>
    </w:rPr>
  </w:style>
  <w:style w:type="character" w:customStyle="1" w:styleId="30">
    <w:name w:val="Заголовок 3 Знак"/>
    <w:basedOn w:val="a2"/>
    <w:link w:val="3"/>
    <w:qFormat/>
    <w:rsid w:val="00BB0E98"/>
    <w:rPr>
      <w:rFonts w:ascii="Open Sans" w:eastAsia="WenQuanYi Micro Hei" w:hAnsi="Open Sans" w:cs="Lohit Devanagari"/>
      <w:b/>
      <w:bCs/>
      <w:sz w:val="28"/>
      <w:szCs w:val="28"/>
      <w:lang w:eastAsia="zh-CN"/>
    </w:rPr>
  </w:style>
  <w:style w:type="character" w:customStyle="1" w:styleId="match">
    <w:name w:val="match"/>
    <w:basedOn w:val="a2"/>
    <w:qFormat/>
    <w:rsid w:val="00265B0C"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1">
    <w:name w:val="Body Text"/>
    <w:basedOn w:val="a"/>
    <w:rsid w:val="003F46A7"/>
    <w:pPr>
      <w:spacing w:after="120"/>
    </w:pPr>
  </w:style>
  <w:style w:type="paragraph" w:styleId="aa">
    <w:name w:val="List"/>
    <w:basedOn w:val="a1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31">
    <w:name w:val="Body Text Indent 3"/>
    <w:basedOn w:val="a"/>
    <w:qFormat/>
    <w:rsid w:val="003F46A7"/>
    <w:pPr>
      <w:ind w:left="540"/>
    </w:pPr>
    <w:rPr>
      <w:u w:color="FFFFFF"/>
    </w:rPr>
  </w:style>
  <w:style w:type="paragraph" w:customStyle="1" w:styleId="Preformat">
    <w:name w:val="Preformat"/>
    <w:qFormat/>
    <w:rsid w:val="00544FE0"/>
    <w:rPr>
      <w:rFonts w:ascii="Courier New" w:hAnsi="Courier New" w:cs="Courier New"/>
    </w:rPr>
  </w:style>
  <w:style w:type="paragraph" w:customStyle="1" w:styleId="ConsPlusNormal">
    <w:name w:val="ConsPlusNormal"/>
    <w:qFormat/>
    <w:rsid w:val="00544FE0"/>
    <w:pPr>
      <w:widowControl w:val="0"/>
      <w:ind w:firstLine="720"/>
    </w:pPr>
    <w:rPr>
      <w:rFonts w:ascii="Arial" w:hAnsi="Arial" w:cs="Arial"/>
      <w:szCs w:val="24"/>
      <w:u w:val="single" w:color="FFFFFF"/>
    </w:rPr>
  </w:style>
  <w:style w:type="paragraph" w:styleId="a7">
    <w:name w:val="Subtitle"/>
    <w:basedOn w:val="a"/>
    <w:next w:val="a"/>
    <w:link w:val="a6"/>
    <w:qFormat/>
    <w:rsid w:val="00AD0677"/>
    <w:pPr>
      <w:spacing w:before="60" w:after="60"/>
      <w:ind w:firstLine="680"/>
      <w:jc w:val="center"/>
      <w:outlineLvl w:val="1"/>
    </w:pPr>
    <w:rPr>
      <w:rFonts w:ascii="Cambria" w:hAnsi="Cambria"/>
      <w:lang w:val="x-none" w:eastAsia="x-none"/>
    </w:rPr>
  </w:style>
  <w:style w:type="paragraph" w:styleId="ad">
    <w:name w:val="List Paragraph"/>
    <w:basedOn w:val="a"/>
    <w:uiPriority w:val="34"/>
    <w:qFormat/>
    <w:rsid w:val="002A44C4"/>
    <w:pPr>
      <w:ind w:left="720"/>
      <w:contextualSpacing/>
    </w:pPr>
  </w:style>
  <w:style w:type="paragraph" w:customStyle="1" w:styleId="headertext">
    <w:name w:val="headertext"/>
    <w:basedOn w:val="a"/>
    <w:qFormat/>
    <w:rsid w:val="000C2529"/>
    <w:pPr>
      <w:spacing w:beforeAutospacing="1" w:afterAutospacing="1"/>
    </w:pPr>
  </w:style>
  <w:style w:type="paragraph" w:customStyle="1" w:styleId="HEADERTEXT0">
    <w:name w:val=".HEADERTEXT"/>
    <w:uiPriority w:val="99"/>
    <w:qFormat/>
    <w:rsid w:val="00D753DD"/>
    <w:pPr>
      <w:widowControl w:val="0"/>
    </w:pPr>
    <w:rPr>
      <w:rFonts w:ascii="Arial" w:hAnsi="Arial" w:cs="Arial"/>
      <w:color w:val="2B4279"/>
    </w:rPr>
  </w:style>
  <w:style w:type="paragraph" w:customStyle="1" w:styleId="formattext">
    <w:name w:val="formattext"/>
    <w:basedOn w:val="a"/>
    <w:qFormat/>
    <w:rsid w:val="00D753DD"/>
    <w:pPr>
      <w:spacing w:beforeAutospacing="1" w:afterAutospacing="1"/>
    </w:pPr>
  </w:style>
  <w:style w:type="paragraph" w:customStyle="1" w:styleId="a9">
    <w:name w:val="Обычный с отступом"/>
    <w:basedOn w:val="a"/>
    <w:link w:val="a8"/>
    <w:qFormat/>
    <w:rsid w:val="00D753DD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Объект без заливки"/>
    <w:basedOn w:val="a"/>
    <w:qFormat/>
    <w:pPr>
      <w:spacing w:line="200" w:lineRule="atLeast"/>
    </w:pPr>
    <w:rPr>
      <w:rFonts w:ascii="Lohit Devanagari" w:hAnsi="Lohit Devanagari"/>
      <w:kern w:val="2"/>
      <w:sz w:val="36"/>
    </w:rPr>
  </w:style>
  <w:style w:type="paragraph" w:customStyle="1" w:styleId="af1">
    <w:name w:val="Объект без заливки и линий"/>
    <w:basedOn w:val="a"/>
    <w:qFormat/>
    <w:pPr>
      <w:spacing w:line="200" w:lineRule="atLeast"/>
    </w:pPr>
    <w:rPr>
      <w:rFonts w:ascii="Lohit Devanagari" w:hAnsi="Lohit Devanagari"/>
      <w:kern w:val="2"/>
      <w:sz w:val="36"/>
    </w:rPr>
  </w:style>
  <w:style w:type="paragraph" w:customStyle="1" w:styleId="A40">
    <w:name w:val="A4"/>
    <w:basedOn w:val="af2"/>
    <w:qFormat/>
    <w:rPr>
      <w:rFonts w:ascii="Noto Sans" w:hAnsi="Noto Sans"/>
      <w:sz w:val="36"/>
    </w:rPr>
  </w:style>
  <w:style w:type="paragraph" w:styleId="af2">
    <w:name w:val="Plain Text"/>
    <w:basedOn w:val="ab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2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3">
    <w:name w:val="Графика"/>
    <w:qFormat/>
    <w:rPr>
      <w:rFonts w:ascii="Liberation Sans" w:eastAsia="Carlito" w:hAnsi="Liberation Sans" w:cs="Calibri"/>
      <w:sz w:val="36"/>
      <w:szCs w:val="24"/>
    </w:rPr>
  </w:style>
  <w:style w:type="paragraph" w:customStyle="1" w:styleId="af4">
    <w:name w:val="Фигуры"/>
    <w:basedOn w:val="af3"/>
    <w:qFormat/>
    <w:rPr>
      <w:b/>
      <w:sz w:val="28"/>
    </w:rPr>
  </w:style>
  <w:style w:type="paragraph" w:customStyle="1" w:styleId="af5">
    <w:name w:val="Заливка"/>
    <w:basedOn w:val="af4"/>
    <w:qFormat/>
  </w:style>
  <w:style w:type="paragraph" w:customStyle="1" w:styleId="af6">
    <w:name w:val="Заливка синим"/>
    <w:basedOn w:val="af5"/>
    <w:qFormat/>
    <w:rPr>
      <w:color w:val="FFFFFF"/>
    </w:rPr>
  </w:style>
  <w:style w:type="paragraph" w:customStyle="1" w:styleId="af7">
    <w:name w:val="Заливка зелёным"/>
    <w:basedOn w:val="af5"/>
    <w:qFormat/>
    <w:rPr>
      <w:color w:val="FFFFFF"/>
    </w:rPr>
  </w:style>
  <w:style w:type="paragraph" w:customStyle="1" w:styleId="af8">
    <w:name w:val="Заливка красным"/>
    <w:basedOn w:val="af5"/>
    <w:qFormat/>
    <w:rPr>
      <w:color w:val="FFFFFF"/>
    </w:rPr>
  </w:style>
  <w:style w:type="paragraph" w:customStyle="1" w:styleId="af9">
    <w:name w:val="Заливка жёлтым"/>
    <w:basedOn w:val="af5"/>
    <w:qFormat/>
    <w:rPr>
      <w:color w:val="FFFFFF"/>
    </w:rPr>
  </w:style>
  <w:style w:type="paragraph" w:customStyle="1" w:styleId="afa">
    <w:name w:val="Контур"/>
    <w:basedOn w:val="af4"/>
    <w:qFormat/>
  </w:style>
  <w:style w:type="paragraph" w:customStyle="1" w:styleId="afb">
    <w:name w:val="Контур синий"/>
    <w:basedOn w:val="afa"/>
    <w:qFormat/>
    <w:rPr>
      <w:color w:val="355269"/>
    </w:rPr>
  </w:style>
  <w:style w:type="paragraph" w:customStyle="1" w:styleId="afc">
    <w:name w:val="Контур зелёный"/>
    <w:basedOn w:val="afa"/>
    <w:qFormat/>
    <w:rPr>
      <w:color w:val="127622"/>
    </w:rPr>
  </w:style>
  <w:style w:type="paragraph" w:customStyle="1" w:styleId="afd">
    <w:name w:val="Контур красный"/>
    <w:basedOn w:val="afa"/>
    <w:qFormat/>
    <w:rPr>
      <w:color w:val="C9211E"/>
    </w:rPr>
  </w:style>
  <w:style w:type="paragraph" w:customStyle="1" w:styleId="afe">
    <w:name w:val="Контур жёлтый"/>
    <w:basedOn w:val="afa"/>
    <w:qFormat/>
    <w:rPr>
      <w:color w:val="B47804"/>
    </w:rPr>
  </w:style>
  <w:style w:type="paragraph" w:customStyle="1" w:styleId="aff">
    <w:name w:val="Линии"/>
    <w:basedOn w:val="af3"/>
    <w:qFormat/>
  </w:style>
  <w:style w:type="paragraph" w:customStyle="1" w:styleId="aff0">
    <w:name w:val="Стрелки"/>
    <w:basedOn w:val="aff"/>
    <w:qFormat/>
  </w:style>
  <w:style w:type="paragraph" w:customStyle="1" w:styleId="aff1">
    <w:name w:val="Штриховая линия"/>
    <w:basedOn w:val="aff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Lohit Devanagari" w:eastAsia="Carlito" w:hAnsi="Lohit Devanagari" w:cs="Calibri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Lohit Devanagari" w:eastAsia="Carlito" w:hAnsi="Lohit Devanagari" w:cs="Calibri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Lohit Devanagari" w:eastAsia="Carlito" w:hAnsi="Lohit Devanagari" w:cs="Calibri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ohit Devanagari" w:eastAsia="Carlito" w:hAnsi="Lohit Devanagari" w:cs="Calibri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Lohit Devanagari" w:eastAsia="Carlito" w:hAnsi="Lohit Devanagari" w:cs="Calibri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2">
    <w:name w:val="Объекты фона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aff3">
    <w:name w:val="Фон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aff4">
    <w:name w:val="Примечания"/>
    <w:qFormat/>
    <w:pPr>
      <w:ind w:left="340" w:hanging="340"/>
    </w:pPr>
    <w:rPr>
      <w:rFonts w:ascii="Lohit Devanagari" w:eastAsia="Carlito" w:hAnsi="Lohit Devanagari" w:cs="Calibri"/>
      <w:kern w:val="2"/>
      <w:sz w:val="40"/>
      <w:szCs w:val="24"/>
    </w:rPr>
  </w:style>
  <w:style w:type="paragraph" w:customStyle="1" w:styleId="1">
    <w:name w:val="Структура 1"/>
    <w:qFormat/>
    <w:pPr>
      <w:spacing w:before="283"/>
    </w:pPr>
    <w:rPr>
      <w:rFonts w:ascii="Lohit Devanagari" w:eastAsia="Carlito" w:hAnsi="Lohit Devanagari" w:cs="Calibri"/>
      <w:kern w:val="2"/>
      <w:sz w:val="64"/>
      <w:szCs w:val="24"/>
    </w:rPr>
  </w:style>
  <w:style w:type="paragraph" w:customStyle="1" w:styleId="20">
    <w:name w:val="Структура 2"/>
    <w:basedOn w:val="1"/>
    <w:qFormat/>
    <w:pPr>
      <w:spacing w:before="227"/>
    </w:pPr>
    <w:rPr>
      <w:sz w:val="56"/>
    </w:rPr>
  </w:style>
  <w:style w:type="paragraph" w:customStyle="1" w:styleId="32">
    <w:name w:val="Структура 3"/>
    <w:basedOn w:val="20"/>
    <w:qFormat/>
    <w:pPr>
      <w:spacing w:before="170"/>
    </w:pPr>
    <w:rPr>
      <w:sz w:val="48"/>
    </w:rPr>
  </w:style>
  <w:style w:type="paragraph" w:customStyle="1" w:styleId="42">
    <w:name w:val="Структура 4"/>
    <w:basedOn w:val="32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">
    <w:name w:val="Обычный~LT~Gliederung 1"/>
    <w:qFormat/>
    <w:pPr>
      <w:spacing w:before="283"/>
    </w:pPr>
    <w:rPr>
      <w:rFonts w:ascii="Lohit Devanagari" w:eastAsia="Carlito" w:hAnsi="Lohit Devanagari" w:cs="Calibri"/>
      <w:kern w:val="2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Lohit Devanagari" w:eastAsia="Carlito" w:hAnsi="Lohit Devanagari" w:cs="Calibri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Lohit Devanagari" w:eastAsia="Carlito" w:hAnsi="Lohit Devanagari" w:cs="Calibri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Lohit Devanagari" w:eastAsia="Carlito" w:hAnsi="Lohit Devanagari" w:cs="Calibri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Carlito" w:hAnsi="Liberation Serif" w:cs="Calibri"/>
      <w:kern w:val="2"/>
      <w:sz w:val="24"/>
      <w:szCs w:val="24"/>
    </w:rPr>
  </w:style>
  <w:style w:type="table" w:styleId="aff5">
    <w:name w:val="Table Grid"/>
    <w:basedOn w:val="a3"/>
    <w:rsid w:val="003F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3"/>
    <w:uiPriority w:val="99"/>
    <w:rsid w:val="0040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header"/>
    <w:basedOn w:val="a"/>
    <w:link w:val="aff7"/>
    <w:uiPriority w:val="99"/>
    <w:unhideWhenUsed/>
    <w:rsid w:val="00D97CD6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2"/>
    <w:link w:val="aff6"/>
    <w:uiPriority w:val="99"/>
    <w:rsid w:val="00D97CD6"/>
    <w:rPr>
      <w:sz w:val="24"/>
      <w:szCs w:val="24"/>
    </w:rPr>
  </w:style>
  <w:style w:type="paragraph" w:styleId="aff8">
    <w:name w:val="footer"/>
    <w:basedOn w:val="a"/>
    <w:link w:val="aff9"/>
    <w:uiPriority w:val="99"/>
    <w:unhideWhenUsed/>
    <w:rsid w:val="00D97CD6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2"/>
    <w:link w:val="aff8"/>
    <w:uiPriority w:val="99"/>
    <w:rsid w:val="00D97C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8F44A-A925-4425-9C46-710ED3DB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Инспекторский участок</vt:lpstr>
    </vt:vector>
  </TitlesOfParts>
  <Company>Кстовский отдел Управления по технологическому и экологическому надзору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Инспекторский участок</dc:title>
  <dc:subject>Данные о лицензиях и регистрации в государственном реестре</dc:subject>
  <dc:creator>Горбатоский А.М.</dc:creator>
  <cp:lastModifiedBy>Овчинникова Ольга Александровна</cp:lastModifiedBy>
  <cp:revision>4</cp:revision>
  <dcterms:created xsi:type="dcterms:W3CDTF">2024-11-28T09:27:00Z</dcterms:created>
  <dcterms:modified xsi:type="dcterms:W3CDTF">2024-11-28T09:33:00Z</dcterms:modified>
  <dc:language>ru-RU</dc:language>
</cp:coreProperties>
</file>