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C" w:rsidRPr="000C7D33" w:rsidRDefault="000C7D33">
      <w:pPr>
        <w:spacing w:line="276" w:lineRule="auto"/>
        <w:jc w:val="center"/>
        <w:rPr>
          <w:b/>
          <w:bCs/>
          <w:sz w:val="32"/>
          <w:szCs w:val="32"/>
        </w:rPr>
      </w:pPr>
      <w:r w:rsidRPr="000C7D33">
        <w:rPr>
          <w:b/>
          <w:bCs/>
          <w:sz w:val="32"/>
          <w:szCs w:val="32"/>
        </w:rPr>
        <w:t xml:space="preserve">Доклад: «Итоги контрольной (надзорной) деятельности </w:t>
      </w:r>
      <w:r>
        <w:rPr>
          <w:b/>
          <w:bCs/>
          <w:sz w:val="32"/>
          <w:szCs w:val="32"/>
        </w:rPr>
        <w:br/>
      </w:r>
      <w:r w:rsidRPr="000C7D33">
        <w:rPr>
          <w:b/>
          <w:bCs/>
          <w:sz w:val="32"/>
          <w:szCs w:val="32"/>
        </w:rPr>
        <w:t xml:space="preserve">по осуществлению государственного надзора в области промышленной безопасности на объектах </w:t>
      </w:r>
      <w:r>
        <w:rPr>
          <w:b/>
          <w:bCs/>
          <w:sz w:val="32"/>
          <w:szCs w:val="32"/>
        </w:rPr>
        <w:br/>
      </w:r>
      <w:r w:rsidRPr="000C7D33">
        <w:rPr>
          <w:b/>
          <w:bCs/>
          <w:sz w:val="32"/>
          <w:szCs w:val="32"/>
        </w:rPr>
        <w:t>Республики Мордовия за 9 месяцев 2024 года»</w:t>
      </w:r>
    </w:p>
    <w:p w:rsidR="000C7D33" w:rsidRPr="000C7D33" w:rsidRDefault="000C7D33">
      <w:pPr>
        <w:spacing w:line="360" w:lineRule="auto"/>
        <w:ind w:firstLine="624"/>
        <w:jc w:val="both"/>
        <w:rPr>
          <w:sz w:val="32"/>
          <w:szCs w:val="32"/>
        </w:rPr>
      </w:pPr>
    </w:p>
    <w:p w:rsidR="001F01FC" w:rsidRDefault="000C7D33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Волжско-Окское управление Ростехнадзора осуществляет на территории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Республики Мордовия</w:t>
      </w:r>
      <w:r>
        <w:rPr>
          <w:rFonts w:eastAsia="Calibri"/>
          <w:sz w:val="28"/>
          <w:szCs w:val="28"/>
          <w:lang w:eastAsia="en-US"/>
        </w:rPr>
        <w:t xml:space="preserve"> федеральный государственный надзор</w:t>
      </w:r>
      <w:r>
        <w:rPr>
          <w:rFonts w:eastAsia="Calibri"/>
          <w:sz w:val="28"/>
          <w:szCs w:val="28"/>
          <w:lang w:eastAsia="en-US"/>
        </w:rPr>
        <w:br/>
        <w:t xml:space="preserve">в области промышленной безопасности в отношении 420 организаций, эксплуатирующих в совокупности 1088 опасных производственных объектов </w:t>
      </w:r>
      <w:r>
        <w:rPr>
          <w:rFonts w:eastAsia="Calibri"/>
          <w:sz w:val="28"/>
          <w:szCs w:val="28"/>
          <w:lang w:eastAsia="en-US"/>
        </w:rPr>
        <w:br/>
        <w:t>(далее – ОПО), в том числе: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I класс опасности 2 ОПО (Общество с ограниченной ответственностью «Газпром трансгаз Нижний Новгор</w:t>
      </w:r>
      <w:r>
        <w:rPr>
          <w:rFonts w:eastAsia="Calibri"/>
          <w:sz w:val="28"/>
          <w:szCs w:val="28"/>
          <w:lang w:eastAsia="en-US"/>
        </w:rPr>
        <w:t xml:space="preserve">од», Акционерное общество «Транснефть-Дружба»);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II класс опасности – 54 ОПО;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III класс опасности – 527 ОПО;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IV класс опасности – 505 ОПО.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К основным типам ОПО II класса опасности относятся объекты магистральных газопроводов, станции газораспределительные, объекты металлургии, станция газонаполнительная, карьеры, площадки хранения мазута.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К основным типам ОПО III класса опасности относятся сети газопотребления предприятий, АГЗС, взрывопожароопасные объекты хранения и переработки растительного сырья, системы теплоснабжения.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К основным типам ОПО IV класса опасности относятся объекты, где используются подъемные сооружения  и оборудование, работающее под избыточным давлением.</w:t>
      </w:r>
    </w:p>
    <w:p w:rsidR="001F01FC" w:rsidRDefault="000C7D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Аварий и случаев смертельного травматизма на поднадзорных объектах, расположенных на территории Республики Мордовия, в 2023 и за 9 месяцев 2024 года не зарегистрировано.</w:t>
      </w:r>
    </w:p>
    <w:p w:rsidR="000C7D33" w:rsidRDefault="000C7D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C7D33" w:rsidRDefault="000C7D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C7D33" w:rsidRDefault="000C7D33" w:rsidP="00875CDC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C7D33" w:rsidRDefault="000C7D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F01FC" w:rsidRDefault="000C7D33">
      <w:pPr>
        <w:spacing w:after="120" w:line="360" w:lineRule="auto"/>
        <w:jc w:val="center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Контрольная (надзорная) и профилактическая деятельность</w:t>
      </w:r>
    </w:p>
    <w:tbl>
      <w:tblPr>
        <w:tblW w:w="10150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43"/>
        <w:gridCol w:w="4125"/>
        <w:gridCol w:w="1495"/>
        <w:gridCol w:w="1312"/>
        <w:gridCol w:w="1413"/>
        <w:gridCol w:w="1362"/>
      </w:tblGrid>
      <w:tr w:rsidR="001F01FC">
        <w:trPr>
          <w:trHeight w:val="738"/>
        </w:trPr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 w:rsidR="001F01FC" w:rsidRDefault="000C7D33">
            <w:pPr>
              <w:spacing w:after="200" w:line="360" w:lineRule="auto"/>
              <w:jc w:val="center"/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 w:rsidR="001F01FC" w:rsidRDefault="000C7D33">
            <w:pPr>
              <w:spacing w:after="200" w:line="360" w:lineRule="auto"/>
              <w:jc w:val="center"/>
            </w:pPr>
            <w:r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after="200" w:line="360" w:lineRule="auto"/>
              <w:jc w:val="center"/>
            </w:pPr>
            <w:r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after="200" w:line="360" w:lineRule="auto"/>
              <w:ind w:right="87"/>
              <w:jc w:val="center"/>
            </w:pPr>
            <w:r>
              <w:rPr>
                <w:rFonts w:eastAsia="Calibri"/>
                <w:b/>
                <w:lang w:eastAsia="en-US"/>
              </w:rPr>
              <w:t>2023 г.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after="200" w:line="360" w:lineRule="exact"/>
              <w:ind w:right="87"/>
              <w:jc w:val="center"/>
              <w:rPr>
                <w:b/>
              </w:rPr>
            </w:pPr>
            <w:r>
              <w:rPr>
                <w:b/>
                <w:szCs w:val="20"/>
              </w:rPr>
              <w:t>9 мес. 2023 г.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after="200" w:line="360" w:lineRule="exact"/>
              <w:ind w:right="87"/>
              <w:jc w:val="center"/>
              <w:rPr>
                <w:b/>
              </w:rPr>
            </w:pPr>
            <w:r>
              <w:rPr>
                <w:b/>
                <w:szCs w:val="20"/>
              </w:rPr>
              <w:t>9 мес. 2024 г.</w:t>
            </w:r>
          </w:p>
        </w:tc>
      </w:tr>
      <w:tr w:rsidR="001F01FC">
        <w:trPr>
          <w:trHeight w:val="653"/>
        </w:trPr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</w:pPr>
            <w:r>
              <w:rPr>
                <w:rFonts w:eastAsia="Calibri"/>
                <w:lang w:eastAsia="en-US"/>
              </w:rPr>
              <w:t>Общее количество контрольных (надзорных) мероприятий и контрольных действий, всего, из них: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464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ind w:firstLine="317"/>
            </w:pPr>
            <w:r>
              <w:rPr>
                <w:rFonts w:eastAsia="Calibri"/>
                <w:lang w:eastAsia="en-US"/>
              </w:rPr>
              <w:t>плановые проверки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ind w:firstLine="317"/>
            </w:pPr>
            <w:r>
              <w:rPr>
                <w:rFonts w:eastAsia="Calibri"/>
                <w:lang w:eastAsia="en-US"/>
              </w:rPr>
              <w:t>внеплановые проверки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447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after="200" w:line="360" w:lineRule="auto"/>
            </w:pPr>
            <w:r>
              <w:rPr>
                <w:rFonts w:eastAsia="Calibri"/>
                <w:lang w:eastAsia="en-US"/>
              </w:rPr>
              <w:t>Количество контрольных действий, проведенных в рамках постоянного государственного надзора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</w:pPr>
            <w:r>
              <w:rPr>
                <w:rFonts w:eastAsia="Calibri"/>
                <w:lang w:eastAsia="en-US"/>
              </w:rPr>
              <w:t>Выявлено правонарушений, всего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384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105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</w:pPr>
            <w:r>
              <w:rPr>
                <w:rFonts w:eastAsia="Calibri"/>
                <w:lang w:eastAsia="en-US"/>
              </w:rPr>
              <w:t>Общее количество административных наказаний, из них: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54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ind w:firstLine="317"/>
            </w:pPr>
            <w:r>
              <w:rPr>
                <w:rFonts w:eastAsia="Calibri"/>
                <w:lang w:eastAsia="en-US"/>
              </w:rPr>
              <w:t>административное приостановление деятельности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ind w:firstLine="317"/>
            </w:pPr>
            <w:r>
              <w:rPr>
                <w:rFonts w:eastAsia="Calibri"/>
                <w:lang w:eastAsia="en-US"/>
              </w:rPr>
              <w:t>предупреждение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ind w:firstLine="317"/>
            </w:pPr>
            <w:r>
              <w:rPr>
                <w:rFonts w:eastAsia="Calibri"/>
                <w:lang w:eastAsia="en-US"/>
              </w:rPr>
              <w:t>административный штраф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31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</w:pPr>
            <w:r>
              <w:rPr>
                <w:rFonts w:eastAsia="Calibri"/>
                <w:lang w:eastAsia="en-US"/>
              </w:rPr>
              <w:t>Общая сумма наложенных административных штрафов (тыс. руб.)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4577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2465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1905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1687</w:t>
            </w:r>
          </w:p>
        </w:tc>
      </w:tr>
      <w:tr w:rsidR="001F01FC">
        <w:tc>
          <w:tcPr>
            <w:tcW w:w="4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2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spacing w:line="360" w:lineRule="auto"/>
            </w:pPr>
            <w:r>
              <w:rPr>
                <w:rFonts w:eastAsia="Calibri"/>
                <w:lang w:eastAsia="en-US"/>
              </w:rPr>
              <w:t>Количество профилактических визитов</w:t>
            </w:r>
          </w:p>
        </w:tc>
        <w:tc>
          <w:tcPr>
            <w:tcW w:w="149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jc w:val="center"/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</w:tcPr>
          <w:p w:rsidR="001F01FC" w:rsidRDefault="000C7D33">
            <w:pPr>
              <w:spacing w:line="360" w:lineRule="auto"/>
              <w:ind w:right="288"/>
              <w:jc w:val="center"/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136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</w:tcPr>
          <w:p w:rsidR="001F01FC" w:rsidRDefault="000C7D33">
            <w:pPr>
              <w:ind w:right="288"/>
              <w:jc w:val="center"/>
            </w:pPr>
            <w:r>
              <w:rPr>
                <w:szCs w:val="20"/>
              </w:rPr>
              <w:t>48</w:t>
            </w:r>
          </w:p>
        </w:tc>
      </w:tr>
    </w:tbl>
    <w:p w:rsidR="001F01FC" w:rsidRPr="000C7D33" w:rsidRDefault="001F01F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10 марта 2022 года для снижения административной нагрузки на бизнес </w:t>
      </w:r>
      <w:r>
        <w:rPr>
          <w:sz w:val="28"/>
          <w:szCs w:val="28"/>
        </w:rPr>
        <w:br/>
        <w:t xml:space="preserve">и в условиях санкций, постановлением Правительства Российской Федерации №336 «Об особенностях организации и осуществления государственного контроля, </w:t>
      </w:r>
      <w:r>
        <w:rPr>
          <w:sz w:val="28"/>
          <w:szCs w:val="28"/>
        </w:rPr>
        <w:lastRenderedPageBreak/>
        <w:t xml:space="preserve">муниципального контроля» были внесены </w:t>
      </w:r>
      <w:r>
        <w:rPr>
          <w:b/>
          <w:sz w:val="28"/>
          <w:szCs w:val="28"/>
        </w:rPr>
        <w:t xml:space="preserve">существенные ограничения </w:t>
      </w:r>
      <w:r>
        <w:rPr>
          <w:b/>
          <w:sz w:val="28"/>
          <w:szCs w:val="28"/>
        </w:rPr>
        <w:br/>
        <w:t>по проведению контрольно-надзорных мероприятий</w:t>
      </w:r>
      <w:r>
        <w:rPr>
          <w:sz w:val="28"/>
          <w:szCs w:val="28"/>
        </w:rPr>
        <w:t xml:space="preserve">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Допускается проведение </w:t>
      </w:r>
      <w:r>
        <w:rPr>
          <w:b/>
          <w:sz w:val="28"/>
          <w:szCs w:val="28"/>
        </w:rPr>
        <w:t xml:space="preserve">запланированных </w:t>
      </w:r>
      <w:r>
        <w:rPr>
          <w:sz w:val="28"/>
          <w:szCs w:val="28"/>
        </w:rPr>
        <w:t xml:space="preserve">контрольных мероприятий в отношении опасных производственных объектов, </w:t>
      </w:r>
      <w:r>
        <w:rPr>
          <w:b/>
          <w:sz w:val="28"/>
          <w:szCs w:val="28"/>
        </w:rPr>
        <w:t xml:space="preserve">отнесенных к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 II классам опасности</w:t>
      </w:r>
      <w:r>
        <w:rPr>
          <w:sz w:val="28"/>
          <w:szCs w:val="28"/>
        </w:rPr>
        <w:t>.</w:t>
      </w:r>
    </w:p>
    <w:p w:rsidR="001F01FC" w:rsidRDefault="000C7D3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9 месяцев в рамках плановых контрольно-надзорных мероприятий по соблюдению требований промышленной безопасности было проведено 5 плановых проверок объектов II класса опасности: «Площадка хранения мазутного топлива Саранской ТЭЦ-2» ПАО «Т Плюс» и  3 ОПО «Сеть газоснабжения» АО «Газпром газораспределение Саранск», Участок литейный по производству алюминиевой катанки ООО «Эпромет».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Внеплановые</w:t>
      </w:r>
      <w:r>
        <w:rPr>
          <w:bCs/>
          <w:sz w:val="28"/>
          <w:szCs w:val="28"/>
        </w:rPr>
        <w:t xml:space="preserve"> проверки проводятся </w:t>
      </w:r>
      <w:r>
        <w:rPr>
          <w:b/>
          <w:sz w:val="28"/>
          <w:szCs w:val="28"/>
        </w:rPr>
        <w:t>исключительно по основаниям</w:t>
      </w:r>
      <w:r>
        <w:rPr>
          <w:sz w:val="28"/>
          <w:szCs w:val="28"/>
        </w:rPr>
        <w:t xml:space="preserve"> предусмотренным постановлением.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  <w:u w:val="single"/>
        </w:rPr>
        <w:t>При этом они делятся на 2 категории</w:t>
      </w:r>
      <w:r>
        <w:rPr>
          <w:sz w:val="28"/>
          <w:szCs w:val="28"/>
        </w:rPr>
        <w:t>: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1. без согласования с органами прокуратуры: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по поручению Президента Российской Федерации;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по поручению Председателя Правительства Российской Федерации, Заместителя Председателя Правительства Российской Федерации;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F01FC" w:rsidRDefault="000C7D33">
      <w:pPr>
        <w:spacing w:line="360" w:lineRule="auto"/>
        <w:ind w:firstLine="851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условии согласования с органами прокуратуры</w:t>
      </w:r>
      <w:r>
        <w:rPr>
          <w:sz w:val="28"/>
          <w:szCs w:val="28"/>
        </w:rPr>
        <w:t>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при непосредственной угрозе</w:t>
      </w:r>
      <w:r>
        <w:rPr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при выявлении </w:t>
      </w:r>
      <w:r>
        <w:rPr>
          <w:b/>
          <w:bCs/>
          <w:sz w:val="28"/>
          <w:szCs w:val="28"/>
        </w:rPr>
        <w:t>индикаторов риска</w:t>
      </w:r>
      <w:r>
        <w:rPr>
          <w:sz w:val="28"/>
          <w:szCs w:val="28"/>
        </w:rPr>
        <w:t xml:space="preserve"> нарушения обязательных требований в отношении опасных производственных объектов.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Для проведения анализа и обеспечения выявления Индикаторов риска  производится сбор и анализ информации, поступающей при реализации полномочий по осуществлению государственного контроля, предоставлению государственных услуг, и сопоставление имеющейся информации со сведениями, имеющимися в государственных реестрах, информационных системах и иных официальных источниках данных.</w:t>
      </w:r>
    </w:p>
    <w:p w:rsidR="001F01FC" w:rsidRDefault="000C7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 п</w:t>
      </w:r>
      <w:r>
        <w:rPr>
          <w:rFonts w:eastAsia="Calibri"/>
          <w:sz w:val="28"/>
          <w:szCs w:val="28"/>
          <w:lang w:eastAsia="en-US"/>
        </w:rPr>
        <w:t xml:space="preserve">роведено 10 внеплановых проверок организаций эксплуатирующих ОПО, из них 1 - наличие сведений о причинении вреда (ущерба) или об угрозе причинения вреда (ущерба) охраняемым законом ценностям,  2 проверки — выявление соответствия объекта контроля параметрам, утверждённым индикаторами риска нарушения обязательных требований (ПБ-3 отсутствие лицензии), 6 — истечение срока исполнения решения об устранении выявленного нарушения обязательных требований, 1 - требование прокурора о проведении контрольного (надзорного) мероприятия). </w:t>
      </w:r>
    </w:p>
    <w:p w:rsidR="001F01FC" w:rsidRDefault="000C7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результатам проверок выявлено 105 нарушений обязательных требований.</w:t>
      </w:r>
    </w:p>
    <w:p w:rsidR="001F01FC" w:rsidRDefault="000C7D33">
      <w:pPr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Общее количество административных наказаний составило — 54, из них 23 — предупреждение, 31 - а</w:t>
      </w:r>
      <w:r>
        <w:rPr>
          <w:color w:val="000000"/>
          <w:sz w:val="28"/>
          <w:szCs w:val="28"/>
        </w:rPr>
        <w:t>дминистративный штраф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Общая сумма наложенного штрафа - 1687 тыс. руб. </w:t>
      </w:r>
    </w:p>
    <w:p w:rsidR="001F01FC" w:rsidRDefault="000C7D33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Профилактика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Принимая во внимание необходимость устойчивого функционирования предприятий, осуществляющих деятельность в области промышленной  безопасности, с учетом ограничений, установленных Постановлением Правительства РФ  от 10 марта 2022 года № 336 «Об особенностях организации и осуществления государственного контроля (надзора), муниципального контроля», Службой сделан акцент на проведение мероприятий по профилактике нарушений обязательных требований.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Статьёй 45 Федерального закона №248-ФЗ «О государственном контроле (надзоре) и муниципальном контроле в Российской Федерации» предусмотрено 7 видов профилактических мероприятий, которые могут проводить контрольные органы.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Это: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информирование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 обобщение правоприменительной практики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меры стимулирования добросовестности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объявление предостережения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консультирование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самообследование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профилактический визит.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Вместе с тем, проведение профилактических мероприятий Ростехнадзором ограничено положениями о соответствующем виде контроля.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Приказами Ростехнадзора отдельно по каждому виду надзора утверждены Программы профилактики рисков причинения вреда охраняемым законом ценностях. И в соответствии с данными программами Управление утвердило графики проведения профилактических мероприятий на текущий год.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течение 2024 года,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утвержденными графиками проведены следующие профилактические мероприятия: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Информирование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по вопросам соблюдения обязательных требований на сайте Управления размещены тексты нормативных правовых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таких обязательных требований; проверочные листы, применяемые при плановых проверках; перечень индикаторов риска нарушения обязательных требований; план проверок; программа профилактики рисков причинения вреда и другая важная информация.</w:t>
      </w:r>
    </w:p>
    <w:p w:rsidR="001F01FC" w:rsidRDefault="000C7D3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Кроме того, в адрес </w:t>
      </w:r>
      <w:r>
        <w:rPr>
          <w:b/>
          <w:bCs/>
          <w:color w:val="000000"/>
          <w:sz w:val="28"/>
          <w:szCs w:val="28"/>
        </w:rPr>
        <w:t>419</w:t>
      </w:r>
      <w:r>
        <w:rPr>
          <w:color w:val="000000"/>
          <w:sz w:val="28"/>
          <w:szCs w:val="28"/>
        </w:rPr>
        <w:t xml:space="preserve"> предприятий и организаций направлены информационные письма разной тематики.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Информирование проводилось об анализе причин аварийных ситуаций в РФ, по усилению внимания за противопаводковой и противопожарными ситуациями, антитеррористической защищенности на эксплуатируемых ОПО.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Консультирование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Ещё одном профилактическим мероприятием для разъяснения требований нормативных актов является консультирование.</w:t>
      </w:r>
    </w:p>
    <w:p w:rsidR="001F01FC" w:rsidRDefault="000C7D3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В течение 2024 года сотрудниками проведено</w:t>
      </w:r>
      <w:r>
        <w:rPr>
          <w:b/>
          <w:bCs/>
          <w:color w:val="000000"/>
          <w:sz w:val="28"/>
          <w:szCs w:val="28"/>
        </w:rPr>
        <w:t xml:space="preserve"> 109 консультаций</w:t>
      </w:r>
      <w:r>
        <w:rPr>
          <w:color w:val="000000"/>
          <w:sz w:val="28"/>
          <w:szCs w:val="28"/>
        </w:rPr>
        <w:t xml:space="preserve"> представителей предприятий и организаций по вопросам промышленной  безопасности.</w:t>
      </w:r>
    </w:p>
    <w:p w:rsidR="001F01FC" w:rsidRDefault="000C7D3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Наиболее часто вст</w:t>
      </w:r>
      <w:r>
        <w:rPr>
          <w:sz w:val="28"/>
          <w:szCs w:val="28"/>
        </w:rPr>
        <w:t>речающиеся вопросы, требующие разъяснения требований нормативных актов такие как: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порядок ввода в эксплуатацию и постановки на учет ОРПД;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приемка в эксплуатацию законченного строительством объекта;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порядок пуска в работу подъемных сооружений;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порядок допуска к работе и проверка знаний обслуживающего персонала. 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Предостережения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Следующим профилактическим мероприятием является предостережение.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Предостережение выносится в случае наличия у контрольного органа сведений о готовящихся нарушениях или признаках таких нарушений и в случае отсутствия угрозы причинения вреда охраняемым законом ценностям.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Предостережение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или бездействие контролируемого лица могут привести или приводят к нарушению обязательных требований.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Контролируемое лицо вправе подать в надзорный орган возражения в отношении предостережения.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Объявленные предостережения в обязательном порядке отражаются на сайте Генпрокуратуры в Едином реестре контрольно-надзорных мероприятий.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2024 году объявлено </w:t>
      </w:r>
      <w:r>
        <w:rPr>
          <w:b/>
          <w:bCs/>
          <w:sz w:val="28"/>
          <w:szCs w:val="28"/>
        </w:rPr>
        <w:t>54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предостережения</w:t>
      </w:r>
      <w:r>
        <w:rPr>
          <w:sz w:val="28"/>
          <w:szCs w:val="28"/>
        </w:rPr>
        <w:t xml:space="preserve"> о недопустимости нарушения обязательных требований.</w:t>
      </w:r>
    </w:p>
    <w:p w:rsidR="001F01FC" w:rsidRDefault="000C7D3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Основаниями для объявления предостережений явились: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при проведении анализа сведений об осуществлении производственного контроля на предприятии и общего реестра аттестуемых лиц, осуществляющих профессиональную деятельность, связанную с эксплуатацией опасных производственных объектов, выявляется отсутствие сведений об аттестации в области промышленной безопасности;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 отсутствие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опасности;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- наличие объекта, имеющего признаки опасного производственного объекта и не зарегистрированного в государственном реестре.</w:t>
      </w:r>
    </w:p>
    <w:p w:rsidR="001F01FC" w:rsidRDefault="000C7D33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Профилактический визит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течение 2024 года по поручению Заместителя Председателя Правительства Российской Федерации Новака Александра Валентиновича от 19 января 2024 года  проведено </w:t>
      </w:r>
      <w:r>
        <w:rPr>
          <w:b/>
          <w:bCs/>
          <w:sz w:val="28"/>
          <w:szCs w:val="28"/>
        </w:rPr>
        <w:t>48 специальных профилактических визита</w:t>
      </w:r>
      <w:r>
        <w:rPr>
          <w:sz w:val="28"/>
          <w:szCs w:val="28"/>
        </w:rPr>
        <w:t xml:space="preserve"> в отношении контролируемых лиц, эксплуатирующих автомобильные газозаправочные станций.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уже причинен, тогда принимается решение о проведении внеплановой проверки. При этом, для проведения такой проверки необходимо согласование прокуратуры республики.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основании Постановления Правительства РФ от 10 марта 2023 г. №372 мораторий на плановые проверки будет действовать до 2030 года  </w:t>
      </w:r>
    </w:p>
    <w:p w:rsidR="001F01FC" w:rsidRDefault="000C7D33">
      <w:pPr>
        <w:spacing w:line="360" w:lineRule="auto"/>
        <w:ind w:firstLine="709"/>
        <w:jc w:val="both"/>
      </w:pPr>
      <w:r>
        <w:rPr>
          <w:sz w:val="28"/>
          <w:szCs w:val="28"/>
        </w:rPr>
        <w:t>Это значит, что Управление продолжит проводить профилактические мероприятия в отношении поднадзорных объектов и контролируемых лиц.</w:t>
      </w:r>
    </w:p>
    <w:p w:rsidR="001F01FC" w:rsidRDefault="001F01FC">
      <w:pPr>
        <w:spacing w:line="360" w:lineRule="auto"/>
        <w:ind w:firstLine="709"/>
        <w:jc w:val="both"/>
        <w:rPr>
          <w:sz w:val="28"/>
          <w:szCs w:val="28"/>
        </w:rPr>
      </w:pPr>
    </w:p>
    <w:sectPr w:rsidR="001F01FC" w:rsidSect="00875CDC">
      <w:headerReference w:type="default" r:id="rId9"/>
      <w:headerReference w:type="first" r:id="rId10"/>
      <w:pgSz w:w="11906" w:h="16838"/>
      <w:pgMar w:top="567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CC" w:rsidRDefault="00BE69CC" w:rsidP="00875CDC">
      <w:r>
        <w:separator/>
      </w:r>
    </w:p>
  </w:endnote>
  <w:endnote w:type="continuationSeparator" w:id="0">
    <w:p w:rsidR="00BE69CC" w:rsidRDefault="00BE69CC" w:rsidP="0087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CC" w:rsidRDefault="00BE69CC" w:rsidP="00875CDC">
      <w:r>
        <w:separator/>
      </w:r>
    </w:p>
  </w:footnote>
  <w:footnote w:type="continuationSeparator" w:id="0">
    <w:p w:rsidR="00BE69CC" w:rsidRDefault="00BE69CC" w:rsidP="0087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826948"/>
      <w:docPartObj>
        <w:docPartGallery w:val="Page Numbers (Top of Page)"/>
        <w:docPartUnique/>
      </w:docPartObj>
    </w:sdtPr>
    <w:sdtContent>
      <w:p w:rsidR="00875CDC" w:rsidRDefault="00875CDC">
        <w:pPr>
          <w:pStyle w:val="af1"/>
          <w:jc w:val="center"/>
        </w:pPr>
      </w:p>
      <w:p w:rsidR="00875CDC" w:rsidRDefault="00875CD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75CDC" w:rsidRDefault="00875C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C" w:rsidRDefault="00875CDC">
    <w:pPr>
      <w:pStyle w:val="af1"/>
    </w:pPr>
  </w:p>
  <w:p w:rsidR="00875CDC" w:rsidRDefault="00875CDC">
    <w:pPr>
      <w:pStyle w:val="af1"/>
    </w:pPr>
  </w:p>
  <w:p w:rsidR="00875CDC" w:rsidRDefault="00875C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BE0"/>
    <w:multiLevelType w:val="multilevel"/>
    <w:tmpl w:val="67B89672"/>
    <w:lvl w:ilvl="0">
      <w:start w:val="1"/>
      <w:numFmt w:val="upperRoman"/>
      <w:lvlText w:val="(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F01FC"/>
    <w:rsid w:val="000C7D33"/>
    <w:rsid w:val="001F01FC"/>
    <w:rsid w:val="00875CDC"/>
    <w:rsid w:val="00B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1"/>
    <w:rPr>
      <w:sz w:val="24"/>
      <w:szCs w:val="24"/>
    </w:rPr>
  </w:style>
  <w:style w:type="paragraph" w:styleId="3">
    <w:name w:val="heading 3"/>
    <w:basedOn w:val="a"/>
    <w:next w:val="a0"/>
    <w:link w:val="30"/>
    <w:qFormat/>
    <w:rsid w:val="00BB0E98"/>
    <w:pPr>
      <w:keepNext/>
      <w:numPr>
        <w:ilvl w:val="2"/>
        <w:numId w:val="1"/>
      </w:numPr>
      <w:spacing w:before="140" w:after="120"/>
      <w:outlineLvl w:val="2"/>
    </w:pPr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44FE0"/>
    <w:rPr>
      <w:color w:val="0000FF"/>
      <w:u w:val="single"/>
    </w:rPr>
  </w:style>
  <w:style w:type="character" w:customStyle="1" w:styleId="a5">
    <w:name w:val="Подзаголовок Знак"/>
    <w:link w:val="a6"/>
    <w:qFormat/>
    <w:rsid w:val="00AD0677"/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Обычный с отступом Знак"/>
    <w:link w:val="a8"/>
    <w:qFormat/>
    <w:rsid w:val="00D753DD"/>
    <w:rPr>
      <w:sz w:val="28"/>
    </w:rPr>
  </w:style>
  <w:style w:type="character" w:customStyle="1" w:styleId="30">
    <w:name w:val="Заголовок 3 Знак"/>
    <w:basedOn w:val="a1"/>
    <w:link w:val="3"/>
    <w:qFormat/>
    <w:rsid w:val="00BB0E98"/>
    <w:rPr>
      <w:rFonts w:ascii="Open Sans" w:eastAsia="WenQuanYi Micro Hei" w:hAnsi="Open Sans" w:cs="Lohit Devanagari"/>
      <w:b/>
      <w:bCs/>
      <w:sz w:val="28"/>
      <w:szCs w:val="28"/>
      <w:lang w:eastAsia="zh-CN"/>
    </w:rPr>
  </w:style>
  <w:style w:type="character" w:customStyle="1" w:styleId="match">
    <w:name w:val="match"/>
    <w:basedOn w:val="a1"/>
    <w:qFormat/>
    <w:rsid w:val="00265B0C"/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0">
    <w:name w:val="Body Text"/>
    <w:basedOn w:val="a"/>
    <w:rsid w:val="003F46A7"/>
    <w:pPr>
      <w:spacing w:after="12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31">
    <w:name w:val="Body Text Indent 3"/>
    <w:basedOn w:val="a"/>
    <w:qFormat/>
    <w:rsid w:val="003F46A7"/>
    <w:pPr>
      <w:ind w:left="540"/>
    </w:pPr>
    <w:rPr>
      <w:u w:color="FFFFFF"/>
    </w:rPr>
  </w:style>
  <w:style w:type="paragraph" w:customStyle="1" w:styleId="Preformat">
    <w:name w:val="Preformat"/>
    <w:qFormat/>
    <w:rsid w:val="00544FE0"/>
    <w:rPr>
      <w:rFonts w:ascii="Courier New" w:hAnsi="Courier New" w:cs="Courier New"/>
    </w:rPr>
  </w:style>
  <w:style w:type="paragraph" w:customStyle="1" w:styleId="ConsPlusNormal">
    <w:name w:val="ConsPlusNormal"/>
    <w:qFormat/>
    <w:rsid w:val="00544FE0"/>
    <w:pPr>
      <w:widowControl w:val="0"/>
      <w:ind w:firstLine="720"/>
    </w:pPr>
    <w:rPr>
      <w:rFonts w:ascii="Arial" w:hAnsi="Arial" w:cs="Arial"/>
      <w:szCs w:val="24"/>
      <w:u w:val="single" w:color="FFFFFF"/>
    </w:rPr>
  </w:style>
  <w:style w:type="paragraph" w:styleId="a6">
    <w:name w:val="Subtitle"/>
    <w:basedOn w:val="a"/>
    <w:next w:val="a"/>
    <w:link w:val="a5"/>
    <w:qFormat/>
    <w:rsid w:val="00AD0677"/>
    <w:pPr>
      <w:spacing w:before="60" w:after="60"/>
      <w:ind w:firstLine="680"/>
      <w:jc w:val="center"/>
      <w:outlineLvl w:val="1"/>
    </w:pPr>
    <w:rPr>
      <w:rFonts w:ascii="Cambria" w:hAnsi="Cambria"/>
      <w:lang w:val="x-none" w:eastAsia="x-none"/>
    </w:rPr>
  </w:style>
  <w:style w:type="paragraph" w:styleId="ad">
    <w:name w:val="List Paragraph"/>
    <w:basedOn w:val="a"/>
    <w:uiPriority w:val="34"/>
    <w:qFormat/>
    <w:rsid w:val="002A44C4"/>
    <w:pPr>
      <w:ind w:left="720"/>
      <w:contextualSpacing/>
    </w:pPr>
  </w:style>
  <w:style w:type="paragraph" w:customStyle="1" w:styleId="headertext">
    <w:name w:val="headertext"/>
    <w:basedOn w:val="a"/>
    <w:qFormat/>
    <w:rsid w:val="000C2529"/>
    <w:pPr>
      <w:spacing w:beforeAutospacing="1" w:afterAutospacing="1"/>
    </w:pPr>
  </w:style>
  <w:style w:type="paragraph" w:customStyle="1" w:styleId="HEADERTEXT0">
    <w:name w:val=".HEADERTEXT"/>
    <w:uiPriority w:val="99"/>
    <w:qFormat/>
    <w:rsid w:val="00D753DD"/>
    <w:pPr>
      <w:widowControl w:val="0"/>
    </w:pPr>
    <w:rPr>
      <w:rFonts w:ascii="Arial" w:hAnsi="Arial" w:cs="Arial"/>
      <w:color w:val="2B4279"/>
    </w:rPr>
  </w:style>
  <w:style w:type="paragraph" w:customStyle="1" w:styleId="formattext">
    <w:name w:val="formattext"/>
    <w:basedOn w:val="a"/>
    <w:qFormat/>
    <w:rsid w:val="00D753DD"/>
    <w:pPr>
      <w:spacing w:beforeAutospacing="1" w:afterAutospacing="1"/>
    </w:pPr>
  </w:style>
  <w:style w:type="paragraph" w:customStyle="1" w:styleId="a8">
    <w:name w:val="Обычный с отступом"/>
    <w:basedOn w:val="a"/>
    <w:link w:val="a7"/>
    <w:qFormat/>
    <w:rsid w:val="00D753DD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2"/>
    <w:rsid w:val="003F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99"/>
    <w:rsid w:val="0040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75C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75CD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75C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75C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068E-9493-4B10-8E44-C4DD1242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1609</Words>
  <Characters>9175</Characters>
  <Application>Microsoft Office Word</Application>
  <DocSecurity>0</DocSecurity>
  <Lines>76</Lines>
  <Paragraphs>21</Paragraphs>
  <ScaleCrop>false</ScaleCrop>
  <Company>Кстовский отдел Управления по технологическому и экологическому надзору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Инспекторский участок</dc:title>
  <dc:subject>Данные о лицензиях и регистрации в государственном реестре</dc:subject>
  <dc:creator>Горбатоский А.М.</dc:creator>
  <cp:lastModifiedBy>Овчинникова Ольга Александровна</cp:lastModifiedBy>
  <cp:revision>3</cp:revision>
  <dcterms:created xsi:type="dcterms:W3CDTF">2024-11-28T09:12:00Z</dcterms:created>
  <dcterms:modified xsi:type="dcterms:W3CDTF">2024-11-28T09:29:00Z</dcterms:modified>
  <dc:language>ru-RU</dc:language>
</cp:coreProperties>
</file>