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F762CA">
        <w:rPr>
          <w:rFonts w:ascii="Times New Roman" w:hAnsi="Times New Roman" w:cs="Times New Roman"/>
          <w:b/>
          <w:sz w:val="28"/>
          <w:szCs w:val="28"/>
        </w:rPr>
        <w:t>25 июня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5C2">
        <w:rPr>
          <w:rFonts w:ascii="Times New Roman" w:hAnsi="Times New Roman" w:cs="Times New Roman"/>
          <w:b/>
          <w:sz w:val="28"/>
          <w:szCs w:val="28"/>
        </w:rPr>
        <w:t>9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5953"/>
      </w:tblGrid>
      <w:tr w:rsidR="0079257C" w:rsidTr="00A77513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0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D45C2" w:rsidRPr="00A77513" w:rsidRDefault="00F762CA" w:rsidP="00070A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Параллельное проведение плановых проверок Ростехнадзора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Координирует проверки одно подразделение.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 при планировании учитывать проверки по другим надзорам?</w:t>
            </w:r>
          </w:p>
        </w:tc>
        <w:tc>
          <w:tcPr>
            <w:tcW w:w="5953" w:type="dxa"/>
          </w:tcPr>
          <w:p w:rsidR="00DD45C2" w:rsidRPr="006F634B" w:rsidRDefault="005C375C" w:rsidP="005C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59">
              <w:rPr>
                <w:rFonts w:ascii="Times New Roman" w:hAnsi="Times New Roman" w:cs="Times New Roman"/>
                <w:sz w:val="26"/>
                <w:szCs w:val="26"/>
              </w:rPr>
              <w:t xml:space="preserve">При планировании все проверки согласовываются между надзорными органами в соответствии с пунктом 3 в «Правил подготовки органами государственного контроля (надзора) и органами муниципального </w:t>
            </w:r>
            <w:proofErr w:type="gramStart"/>
            <w:r w:rsidRPr="00EF4559">
              <w:rPr>
                <w:rFonts w:ascii="Times New Roman" w:hAnsi="Times New Roman" w:cs="Times New Roman"/>
                <w:sz w:val="26"/>
                <w:szCs w:val="26"/>
              </w:rPr>
              <w:t>контроля ежегодных планов проведения плановых проверок юридических лиц</w:t>
            </w:r>
            <w:proofErr w:type="gramEnd"/>
            <w:r w:rsidRPr="00EF4559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индивидуальных предпринимателей», утвержденных постановлением Правительства Российской Федерации от 30 июня 2010 года № 489. В дальнейшем, при подготовке распоряжений на проведение проверок, также согласовываются сроки проведения проверок, чтобы исключить превышения срока в 20 рабочих дней, установленного статьей 13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Pr="00EF4559">
              <w:rPr>
                <w:rFonts w:ascii="Times New Roman" w:hAnsi="Times New Roman" w:cs="Times New Roman"/>
                <w:sz w:val="26"/>
                <w:szCs w:val="26"/>
              </w:rPr>
              <w:t xml:space="preserve">2008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Pr="00EF4559">
              <w:rPr>
                <w:rFonts w:ascii="Times New Roman" w:hAnsi="Times New Roman" w:cs="Times New Roman"/>
                <w:sz w:val="26"/>
                <w:szCs w:val="26"/>
              </w:rPr>
              <w:t>№ 294-ФЗ.</w:t>
            </w:r>
          </w:p>
        </w:tc>
      </w:tr>
      <w:tr w:rsidR="00DD45C2" w:rsidTr="00A77513">
        <w:tc>
          <w:tcPr>
            <w:tcW w:w="851" w:type="dxa"/>
          </w:tcPr>
          <w:p w:rsidR="00DD45C2" w:rsidRP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D45C2" w:rsidRPr="00A77513" w:rsidRDefault="00F762CA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Исключение </w:t>
            </w:r>
            <w:proofErr w:type="spellStart"/>
            <w:r w:rsidR="0004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газопотребляющего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 менее 0,5 МПа</w:t>
            </w:r>
            <w:r w:rsidR="0004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сведений была согласована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(сведения выданы). Инспектор при проверке заявляет о том, что данное оборудование должно быть включено и дает предписание. Как это понимать?</w:t>
            </w:r>
          </w:p>
        </w:tc>
        <w:tc>
          <w:tcPr>
            <w:tcW w:w="5953" w:type="dxa"/>
          </w:tcPr>
          <w:p w:rsidR="00DD45C2" w:rsidRPr="005C375C" w:rsidRDefault="005C375C" w:rsidP="005C3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В соответствии с указаниями Ростехнадзора от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2016 года, опасный производственный объект «Сеть 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» попадает под критерии опасного производственного объекта при наличии оборудования, работающего под давлением природного или сжиженного углеводородного газа свыше 0,05 МПа, даже если в составе опасного производственного объекта есть оборудование, работающее под давлением природного или сжиженного углеводородного газа 0,05 МПа и ниже.</w:t>
            </w:r>
            <w:proofErr w:type="gram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При этом в Сведениях, характеризующих опасный производственный объект, отражаются все характеристики объекта, в том числе участки газопроводов и оборудование низкого давления. Разделение объекта «Сеть 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на регистрируемые и нерегистрируемые в </w:t>
            </w:r>
            <w:proofErr w:type="gram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реестре</w:t>
            </w:r>
            <w:proofErr w:type="gram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опасных производственных объектов мелкие участки, технологически связанные и эксплуатируемые в рамках одного предприятия, необоснованно.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D45C2" w:rsidRPr="00A77513" w:rsidRDefault="00F762CA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Какой порядок постановки на учет</w:t>
            </w:r>
            <w:r w:rsidR="0004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подъемного сооружения приобретенного без сертификата соответствия </w:t>
            </w:r>
            <w:proofErr w:type="gramStart"/>
            <w:r w:rsidR="0004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proofErr w:type="gramEnd"/>
            <w:r w:rsidR="00043E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ТС 010/2011</w:t>
            </w:r>
          </w:p>
        </w:tc>
        <w:tc>
          <w:tcPr>
            <w:tcW w:w="5953" w:type="dxa"/>
          </w:tcPr>
          <w:p w:rsidR="00DD45C2" w:rsidRPr="002B75FF" w:rsidRDefault="002B75FF" w:rsidP="002B75FF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Поскольку постановка на учет подъемных сооружений носит заявительный характер, и предоставление сертификата соответствия при данной процедуре не предусмотрено нормативно-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правовыми актами, то порядок постановки на учет подъемного сооружения, приобретенного без сертификата соответствия техническому регламенту Таможенного союза "О безопасности машин и оборудования" (</w:t>
            </w:r>
            <w:proofErr w:type="gramStart"/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proofErr w:type="gramEnd"/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ТС 010/2011), не отличается от порядка постановки на учет подъемного сооружения с сертификатом.</w:t>
            </w:r>
          </w:p>
        </w:tc>
      </w:tr>
      <w:tr w:rsidR="00DD45C2" w:rsidTr="00A77513">
        <w:tc>
          <w:tcPr>
            <w:tcW w:w="851" w:type="dxa"/>
          </w:tcPr>
          <w:p w:rsidR="00DD45C2" w:rsidRDefault="00DD45C2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DD45C2" w:rsidRPr="00A77513" w:rsidRDefault="00043E0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конференции было заявлено о наличии базы аттестации руководителей и специалистов по промышленной безопасности.</w:t>
            </w:r>
            <w:r w:rsidR="007B0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Где можно проверить аттестацию?</w:t>
            </w:r>
          </w:p>
        </w:tc>
        <w:tc>
          <w:tcPr>
            <w:tcW w:w="5953" w:type="dxa"/>
          </w:tcPr>
          <w:p w:rsidR="00DD45C2" w:rsidRPr="005C375C" w:rsidRDefault="005C375C" w:rsidP="00DD45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Реестр аттестованных в территориальных аттестационных </w:t>
            </w:r>
            <w:proofErr w:type="gram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комиссиях</w:t>
            </w:r>
            <w:proofErr w:type="gram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специалистов является открытым для работников Ростехнадзора. Для проверки достоверности протоколов аттестации Вы можете направить письмо в территориальных орган Ростехнадзора с приложением протокола аттестации, вызывающего у Вас сомнения. В отношении </w:t>
            </w:r>
            <w:proofErr w:type="gram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протоколов, имеющихся в организации можем</w:t>
            </w:r>
            <w:proofErr w:type="gram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сообщить, что аттестация в территориальных аттестационных комиссиях проводится исключительно в подзадаче «Аттестация» Комплексной системы информатизации Ростехнадзора, при личном присутствии аттестуемого. Любой протокол, полученный в результате «дистанционной» аттестации, не является протоколом территориальной аттестационной комиссии.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77513" w:rsidRPr="00A77513" w:rsidRDefault="007B02FF" w:rsidP="00A7751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Требуется ли наличие декларации соответствия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ТС «О безопасности машин и оборудования» производственной таре, перемещаемой грузоподъемными кранами на опасном производственном объекте?</w:t>
            </w:r>
          </w:p>
        </w:tc>
        <w:tc>
          <w:tcPr>
            <w:tcW w:w="5953" w:type="dxa"/>
          </w:tcPr>
          <w:p w:rsidR="00A77513" w:rsidRPr="002B75FF" w:rsidRDefault="002B75FF" w:rsidP="002B75F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федеральных нормах и правилах в области промышленной безопасности </w:t>
            </w:r>
            <w:r w:rsidRPr="002B75F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сооружения» (утверждены приказом Ростехнадзора от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12 ноября 2013 года № 533) (далее – ФНП по ПС), введен термин «подъемные сооружения» (далее – ПС), при этом согласно подпункту «к» пункта 148 ФНП по ПС: </w:t>
            </w:r>
            <w:proofErr w:type="gramStart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«Не подлежат учету в федеральных органах исполнительной власти в области промышленной безопасности, осуществляющих ведение реестра ОПО, следующие ПС:…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к) рельсовые пути, сменные грузозахватные органы, съемные грузозахватные приспособления и тара;…». Согласно пункту 144 ФНП по ПС:</w:t>
            </w:r>
            <w:proofErr w:type="gramEnd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«До пуска в работу ПС на ОПО рассматривается следующий комплект документов:…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б) паспорт ПС (в случае его утраты – дубликат);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в) сертификаты (декларации) соответствия; г) руководство (инструкция) по эксплуатации ПС (в случае утраты – дубликат);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е) заключение экспертизы промышленной безопасности в случае отсутствия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сертификата соответствия,…».</w:t>
            </w:r>
            <w:r w:rsidRPr="002B75FF">
              <w:rPr>
                <w:sz w:val="26"/>
                <w:szCs w:val="26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Согласно пункту 5 ФНП по ПС:</w:t>
            </w:r>
            <w:proofErr w:type="gramEnd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«Подтверждение соответствия ПС, на которые распространяются требования Технического регламента </w:t>
            </w:r>
            <w:proofErr w:type="gramStart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</w:t>
            </w:r>
            <w:proofErr w:type="gramEnd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ТС 010/2011 и Технического регламента "О безопасности колесных транспортных средств", осуществляется в соответствии с требованиями указанных технических регламентов, а в случаях, указанных в пунктах 260 – 275 настоящих ФНП, в соответствии с требованиями этих пунктов».</w:t>
            </w:r>
            <w:r w:rsidRPr="002B75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Пунктом 264 ФНП по ПС определено, что экспертиза промышленной безопасности проводится только для ПС, которые подлежат учету.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Технический регламент Таможенного союза "О безопасности машин и оборудования" </w:t>
            </w:r>
            <w:r w:rsidRPr="002B75FF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решением Комиссии Таможенного союза от 18.10.2011 № 823, действует и имеет сокращенное обозначение </w:t>
            </w:r>
            <w:proofErr w:type="gramStart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</w:t>
            </w:r>
            <w:proofErr w:type="gramEnd"/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ТС 010/2011.</w:t>
            </w:r>
            <w:r w:rsidRPr="002B75FF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№ 3 к техническому регламенту Таможенного союза "О безопасности машин и оборудования" содержит «Перечень объектов технического регулирования, подлежащих подтверждению соответствия требованиям технического регламента Таможенного союза "О безопасности машин и оборудования" в форме декларирования соответствия». Пунктом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«Перечня» обозначены «Приспособления для грузоподъемных операций», в числе которых применяется</w:t>
            </w:r>
            <w:r w:rsidRPr="002B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75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 тара, перемещаемая грузоподъемными кранами на опасном производственном объекте и предназначенная для складирования, транспортирования и хранения грузов.</w:t>
            </w:r>
          </w:p>
        </w:tc>
      </w:tr>
      <w:tr w:rsidR="00A77513" w:rsidTr="00A77513">
        <w:tc>
          <w:tcPr>
            <w:tcW w:w="851" w:type="dxa"/>
          </w:tcPr>
          <w:p w:rsidR="00A77513" w:rsidRDefault="00A77513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A77513" w:rsidRPr="00A77513" w:rsidRDefault="007B02FF" w:rsidP="007B02F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пояснить более подробно о предоставлении отчета о производственном контроле за прошедший год: в каком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образом. Допускается ли сдавать на электронном носителе (диск) с сопроводительным письмом.</w:t>
            </w:r>
          </w:p>
        </w:tc>
        <w:tc>
          <w:tcPr>
            <w:tcW w:w="5953" w:type="dxa"/>
          </w:tcPr>
          <w:p w:rsidR="005C375C" w:rsidRDefault="005C375C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117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требованиями статьи 11 (пункт 2) федерального закона «О промышленной безопасности опасных производственных объектов» от 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</w:t>
            </w:r>
            <w:r w:rsidRPr="006117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6117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 116-ФЗ,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территориальные органы ежегодно</w:t>
            </w:r>
            <w:proofErr w:type="gramEnd"/>
            <w:r w:rsidRPr="006117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 апреля соот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ветствующего календарного года.</w:t>
            </w:r>
          </w:p>
          <w:p w:rsidR="00A77513" w:rsidRPr="00DD45C2" w:rsidRDefault="005C375C" w:rsidP="005C3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Вы подготовили отчет в произвольной форме, информация предоставляется на бумажном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носителе с сопроводительным письмом.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форма отчета соответствует требованиям </w:t>
            </w: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надзору, утвержденному приказом Ростехнадзора от 23 января 2014 года № 25 и оформлены в формате .</w:t>
            </w:r>
            <w:proofErr w:type="spellStart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xls</w:t>
            </w:r>
            <w:proofErr w:type="spellEnd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.</w:t>
            </w:r>
            <w:proofErr w:type="spellStart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xlsx</w:t>
            </w:r>
            <w:proofErr w:type="spellEnd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xml</w:t>
            </w:r>
            <w:proofErr w:type="spellEnd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они направляются на адрес, указанный на сайте Ростехнадзора в разделе «Деятельность» - «Прием</w:t>
            </w:r>
            <w:proofErr w:type="gramEnd"/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отчетов о производственном контроле»</w:t>
            </w:r>
          </w:p>
        </w:tc>
      </w:tr>
      <w:tr w:rsidR="00A77513" w:rsidTr="00A77513">
        <w:tc>
          <w:tcPr>
            <w:tcW w:w="851" w:type="dxa"/>
          </w:tcPr>
          <w:p w:rsidR="00A77513" w:rsidRPr="002279D9" w:rsidRDefault="00A77513" w:rsidP="00D27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</w:tcPr>
          <w:p w:rsidR="00A77513" w:rsidRPr="002279D9" w:rsidRDefault="007B02FF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Будут ли продлены «надзорные каникулы» для подъемных сооружений в 2020-2021 </w:t>
            </w:r>
            <w:proofErr w:type="spellStart"/>
            <w:r w:rsidRPr="0022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22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2279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.?</w:t>
            </w:r>
          </w:p>
        </w:tc>
        <w:tc>
          <w:tcPr>
            <w:tcW w:w="5953" w:type="dxa"/>
          </w:tcPr>
          <w:p w:rsidR="002279D9" w:rsidRPr="002279D9" w:rsidRDefault="002279D9" w:rsidP="00227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79D9">
              <w:rPr>
                <w:rFonts w:ascii="Times New Roman" w:hAnsi="Times New Roman" w:cs="Times New Roman"/>
                <w:sz w:val="26"/>
                <w:szCs w:val="26"/>
              </w:rPr>
              <w:t>Пунктом 1 части 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предусмотрено, что плановые проверки не проводятся в отношении субъектов малого предпринимательства, за исключением, в частности, плановых проверок, проводимых в рамках видов государственного контроля, по которым установлены классы опасности.</w:t>
            </w:r>
            <w:proofErr w:type="gramEnd"/>
          </w:p>
          <w:p w:rsidR="002279D9" w:rsidRPr="002279D9" w:rsidRDefault="002279D9" w:rsidP="00227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>Пунктом 6 приложения № 2 к Федеральному закону от 21.07.1997 № 116-ФЗ «О промышленной безопасности опасных производственных объектов» (далее - № 116-ФЗ) установлено, что грузоподъемные механизмы (за исключением лифтов, подъемных платформ для инвалидов), эскалаторы в метрополитенах, канатные дороги, фуникулеры относятся к 1</w:t>
            </w:r>
            <w:r w:rsidRPr="002279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 xml:space="preserve"> классу опасности; подвесные канатные дороги относятся к III классу опасности.</w:t>
            </w:r>
          </w:p>
          <w:p w:rsidR="002279D9" w:rsidRPr="002279D9" w:rsidRDefault="002279D9" w:rsidP="00227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>В отношении ОПО 1</w:t>
            </w:r>
            <w:r w:rsidRPr="002279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 xml:space="preserve"> класса в соответствии с п. 5.2 ст. 16 № 116-ФЗ плановые проверки не проводятся.</w:t>
            </w:r>
          </w:p>
          <w:p w:rsidR="00A77513" w:rsidRPr="002279D9" w:rsidRDefault="002279D9" w:rsidP="00227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вне зависимости от «надзорных каникул», плановые проверки проводятся только в </w:t>
            </w:r>
            <w:proofErr w:type="gramStart"/>
            <w:r w:rsidRPr="002279D9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2279D9">
              <w:rPr>
                <w:rFonts w:ascii="Times New Roman" w:hAnsi="Times New Roman" w:cs="Times New Roman"/>
                <w:sz w:val="26"/>
                <w:szCs w:val="26"/>
              </w:rPr>
              <w:t xml:space="preserve"> канатных дорог (</w:t>
            </w:r>
            <w:r w:rsidRPr="002279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279D9">
              <w:rPr>
                <w:rFonts w:ascii="Times New Roman" w:hAnsi="Times New Roman" w:cs="Times New Roman"/>
                <w:sz w:val="26"/>
                <w:szCs w:val="26"/>
              </w:rPr>
              <w:t xml:space="preserve"> класс опасности).</w:t>
            </w:r>
          </w:p>
        </w:tc>
      </w:tr>
      <w:tr w:rsidR="00A07B20" w:rsidTr="00A77513">
        <w:tc>
          <w:tcPr>
            <w:tcW w:w="851" w:type="dxa"/>
          </w:tcPr>
          <w:p w:rsidR="00A07B20" w:rsidRDefault="00A07B20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07B20" w:rsidRDefault="007B02FF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выйти с предложением в Центральный аппарат Ростехнадзора о выдаче удостоверений по результатам аттестации руководителей предприятий и специалистов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промышленной безопасности (как было ранее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953" w:type="dxa"/>
          </w:tcPr>
          <w:p w:rsidR="005C375C" w:rsidRPr="000066BE" w:rsidRDefault="005C375C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Проектом постановления Правительства Российской Федерации «О подготовке и аттестации по вопросам промышленной безопасности, безопасности гидротехнических сооружений, безопасности в сфере электроэнергетики» предусматривается выдача </w:t>
            </w: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протокола по итогам аттестации:</w:t>
            </w:r>
          </w:p>
          <w:p w:rsidR="005C375C" w:rsidRPr="000066BE" w:rsidRDefault="005C375C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 Результаты аттестации оформляются протоколом заседания аттестационной комиссии. </w:t>
            </w:r>
          </w:p>
          <w:p w:rsidR="005C375C" w:rsidRPr="000066BE" w:rsidRDefault="005C375C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 считается аттестованным со дня прохождения аттестации.</w:t>
            </w:r>
          </w:p>
          <w:p w:rsidR="005C375C" w:rsidRPr="000066BE" w:rsidRDefault="005C375C" w:rsidP="005C375C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 Работникам, прошедшим аттестацию в центральной, территориальной или ведомственной аттестационной комиссии, выдаются удостоверения об аттестации по форме, устанавливаемой Федеральной службой по экологическому, технологическому и атомному надзору. </w:t>
            </w:r>
          </w:p>
          <w:p w:rsidR="00A07B20" w:rsidRPr="00DD45C2" w:rsidRDefault="005C375C" w:rsidP="005C3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об аттестации действительно на всей территории Российской Федерации и иных территориях, находящихся под 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рисдикцией Российской Федерации».</w:t>
            </w:r>
          </w:p>
        </w:tc>
      </w:tr>
      <w:tr w:rsidR="007B02FF" w:rsidTr="00A77513">
        <w:tc>
          <w:tcPr>
            <w:tcW w:w="851" w:type="dxa"/>
          </w:tcPr>
          <w:p w:rsidR="007B02FF" w:rsidRDefault="007B02FF" w:rsidP="00D2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828" w:type="dxa"/>
          </w:tcPr>
          <w:p w:rsidR="007B02FF" w:rsidRDefault="007B02FF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Выдавать раздаточный материал с кратким анализом аварий и несчастных случаев на опасных производственных объектах за истекший год.</w:t>
            </w:r>
          </w:p>
        </w:tc>
        <w:tc>
          <w:tcPr>
            <w:tcW w:w="5953" w:type="dxa"/>
          </w:tcPr>
          <w:p w:rsidR="007B02FF" w:rsidRPr="005C375C" w:rsidRDefault="005C375C" w:rsidP="005C3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расследования причин аварий и несчастных случаев на объектах, подконтрольных 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Ростехнадзору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регулярно публикуются на официальном сайте Управления. Кроме того, в адрес поднадзорных предприятий ежеквартально направляется анализ причин несчастных случаев, произошедших на объектах электроэнергетики. Если Вы желаете получать подобную информацию, Вам необходимо связаться с представителями Управления по телефону (831) 431 82 10 или направить письмо на адрес 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volok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gosnadzor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C37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5C37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02FF" w:rsidRDefault="007B02FF" w:rsidP="00E200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535" w:rsidRPr="00DD45C2" w:rsidRDefault="00DD45C2" w:rsidP="00E200E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DD45C2" w:rsidRDefault="007B02FF" w:rsidP="00DD45C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подобные мероприятия чаще и приглашать всех инспекторов.</w:t>
      </w:r>
    </w:p>
    <w:p w:rsidR="00A07B20" w:rsidRDefault="007B02FF" w:rsidP="007B02FF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использовать в работе Волжско-Окского управления Ростехнадзора такую меру административного воздействия, как «предупреждение».</w:t>
      </w:r>
    </w:p>
    <w:p w:rsidR="007B02FF" w:rsidRPr="00DD45C2" w:rsidRDefault="007B02FF" w:rsidP="007B02F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02FF" w:rsidRPr="00D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43E02"/>
    <w:rsid w:val="00051CCD"/>
    <w:rsid w:val="000B7552"/>
    <w:rsid w:val="0010414E"/>
    <w:rsid w:val="00130DEC"/>
    <w:rsid w:val="0015498E"/>
    <w:rsid w:val="001678A6"/>
    <w:rsid w:val="0017079D"/>
    <w:rsid w:val="001832F1"/>
    <w:rsid w:val="001B7BE8"/>
    <w:rsid w:val="001F5E0D"/>
    <w:rsid w:val="00203D0C"/>
    <w:rsid w:val="002279D9"/>
    <w:rsid w:val="00237FEB"/>
    <w:rsid w:val="002A2AEC"/>
    <w:rsid w:val="002B75FF"/>
    <w:rsid w:val="002C6A86"/>
    <w:rsid w:val="002C7C8E"/>
    <w:rsid w:val="00383632"/>
    <w:rsid w:val="003930A2"/>
    <w:rsid w:val="003A19D3"/>
    <w:rsid w:val="003A6503"/>
    <w:rsid w:val="003B201F"/>
    <w:rsid w:val="003E3819"/>
    <w:rsid w:val="00472247"/>
    <w:rsid w:val="00480A34"/>
    <w:rsid w:val="004860B4"/>
    <w:rsid w:val="00490B0C"/>
    <w:rsid w:val="005100B0"/>
    <w:rsid w:val="00540103"/>
    <w:rsid w:val="00547AF3"/>
    <w:rsid w:val="0056467F"/>
    <w:rsid w:val="0056575E"/>
    <w:rsid w:val="005820E5"/>
    <w:rsid w:val="005939A0"/>
    <w:rsid w:val="00593AED"/>
    <w:rsid w:val="005B4130"/>
    <w:rsid w:val="005C375C"/>
    <w:rsid w:val="005E1389"/>
    <w:rsid w:val="005F1535"/>
    <w:rsid w:val="005F5E21"/>
    <w:rsid w:val="00602C83"/>
    <w:rsid w:val="006C61CB"/>
    <w:rsid w:val="006F2D29"/>
    <w:rsid w:val="006F634B"/>
    <w:rsid w:val="00743071"/>
    <w:rsid w:val="007520E3"/>
    <w:rsid w:val="00754B95"/>
    <w:rsid w:val="00755771"/>
    <w:rsid w:val="00757153"/>
    <w:rsid w:val="00761858"/>
    <w:rsid w:val="0079257C"/>
    <w:rsid w:val="007B02FF"/>
    <w:rsid w:val="00800FF0"/>
    <w:rsid w:val="00814F0D"/>
    <w:rsid w:val="00876CF2"/>
    <w:rsid w:val="00894768"/>
    <w:rsid w:val="008F6802"/>
    <w:rsid w:val="00900803"/>
    <w:rsid w:val="00917B2A"/>
    <w:rsid w:val="009243AC"/>
    <w:rsid w:val="00936C6C"/>
    <w:rsid w:val="00994251"/>
    <w:rsid w:val="00994CD6"/>
    <w:rsid w:val="00997BA0"/>
    <w:rsid w:val="009B394D"/>
    <w:rsid w:val="009B7373"/>
    <w:rsid w:val="00A07B20"/>
    <w:rsid w:val="00A17A3D"/>
    <w:rsid w:val="00A26709"/>
    <w:rsid w:val="00A741F1"/>
    <w:rsid w:val="00A77513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CC1AA2"/>
    <w:rsid w:val="00D04381"/>
    <w:rsid w:val="00D0647F"/>
    <w:rsid w:val="00D12802"/>
    <w:rsid w:val="00D24350"/>
    <w:rsid w:val="00D64E26"/>
    <w:rsid w:val="00D740B1"/>
    <w:rsid w:val="00DB0C84"/>
    <w:rsid w:val="00DC116E"/>
    <w:rsid w:val="00DD45C2"/>
    <w:rsid w:val="00E10C79"/>
    <w:rsid w:val="00E200EC"/>
    <w:rsid w:val="00E25DD2"/>
    <w:rsid w:val="00EC743D"/>
    <w:rsid w:val="00EE3730"/>
    <w:rsid w:val="00F509A6"/>
    <w:rsid w:val="00F54FDC"/>
    <w:rsid w:val="00F6634E"/>
    <w:rsid w:val="00F762CA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452C-758D-4988-BD4A-90A92A0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49</cp:revision>
  <cp:lastPrinted>2019-07-01T14:22:00Z</cp:lastPrinted>
  <dcterms:created xsi:type="dcterms:W3CDTF">2017-12-05T13:24:00Z</dcterms:created>
  <dcterms:modified xsi:type="dcterms:W3CDTF">2019-07-08T14:16:00Z</dcterms:modified>
</cp:coreProperties>
</file>